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BF07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14:paraId="2A1D4D81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41331F29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6E0743" w:rsidRPr="000317AF" w14:paraId="4491EB00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13F44CE" w14:textId="77777777" w:rsidR="006E0743" w:rsidRPr="000317AF" w:rsidRDefault="006E0743" w:rsidP="006E0743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533F75AA" w14:textId="4EBDACB7" w:rsidR="006E0743" w:rsidRPr="000317AF" w:rsidRDefault="006E0743" w:rsidP="006E0743">
            <w:pPr>
              <w:pStyle w:val="TableParagraph"/>
              <w:rPr>
                <w:rFonts w:ascii="Times New Roman"/>
                <w:lang w:val="ca-ES"/>
              </w:rPr>
            </w:pPr>
            <w:r w:rsidRPr="00D67150">
              <w:rPr>
                <w:b/>
                <w:bCs/>
                <w:lang w:val="ca-ES"/>
              </w:rPr>
              <w:t>LE 58/745/2021</w:t>
            </w:r>
          </w:p>
        </w:tc>
      </w:tr>
      <w:tr w:rsidR="006E0743" w:rsidRPr="000317AF" w14:paraId="5B5A9737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2CF13C96" w14:textId="77777777" w:rsidR="006E0743" w:rsidRPr="000317AF" w:rsidRDefault="006E0743" w:rsidP="006E0743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DAE1B50" w14:textId="77777777" w:rsidR="006E0743" w:rsidRPr="000317AF" w:rsidRDefault="006E0743" w:rsidP="006E0743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3D67F9F0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58EC47AC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7B86895E" w14:textId="77777777"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14:paraId="7350CCF6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7DD3F645" w14:textId="77777777"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14:paraId="479BAD7A" w14:textId="77777777"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14:paraId="3A5AF744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4ECCAC4A" w14:textId="161512C6" w:rsidR="00D961C9" w:rsidRDefault="006E0743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Sr. Jordi LLOP CASAMADA</w:t>
      </w:r>
    </w:p>
    <w:p w14:paraId="417DEF06" w14:textId="1747A2C2" w:rsidR="006E0743" w:rsidRDefault="006E0743" w:rsidP="00D35AFB">
      <w:pPr>
        <w:pStyle w:val="Textoindependiente"/>
        <w:rPr>
          <w:b w:val="0"/>
          <w:sz w:val="20"/>
          <w:lang w:val="es-ES"/>
        </w:rPr>
      </w:pPr>
    </w:p>
    <w:p w14:paraId="323B9D55" w14:textId="7B845966" w:rsidR="006E0743" w:rsidRDefault="006E0743" w:rsidP="00D35AFB">
      <w:pPr>
        <w:pStyle w:val="Textoindependiente"/>
        <w:rPr>
          <w:b w:val="0"/>
          <w:sz w:val="20"/>
          <w:lang w:val="es-ES"/>
        </w:rPr>
      </w:pPr>
    </w:p>
    <w:p w14:paraId="3D9E897D" w14:textId="77777777" w:rsidR="006E0743" w:rsidRPr="00D67150" w:rsidRDefault="006E0743" w:rsidP="006E0743">
      <w:pPr>
        <w:spacing w:before="5" w:after="1"/>
        <w:jc w:val="both"/>
        <w:rPr>
          <w:sz w:val="21"/>
          <w:lang w:val="es-ES"/>
        </w:rPr>
      </w:pPr>
      <w:r w:rsidRPr="00D67150">
        <w:rPr>
          <w:sz w:val="21"/>
          <w:lang w:val="es-ES"/>
        </w:rPr>
        <w:t xml:space="preserve">La comisión, reunida el </w:t>
      </w:r>
      <w:r>
        <w:rPr>
          <w:sz w:val="21"/>
          <w:lang w:val="es-ES"/>
        </w:rPr>
        <w:t>jueves</w:t>
      </w:r>
      <w:r w:rsidRPr="00D67150">
        <w:rPr>
          <w:sz w:val="21"/>
          <w:lang w:val="es-ES"/>
        </w:rPr>
        <w:t xml:space="preserve"> </w:t>
      </w:r>
      <w:r>
        <w:rPr>
          <w:sz w:val="21"/>
          <w:lang w:val="es-ES"/>
        </w:rPr>
        <w:t>12</w:t>
      </w:r>
      <w:r w:rsidRPr="00D67150">
        <w:rPr>
          <w:sz w:val="21"/>
          <w:lang w:val="es-ES"/>
        </w:rPr>
        <w:t xml:space="preserve"> de mayo de 2022 ha acordado por unanimidad, otorgar la puntuación total de </w:t>
      </w:r>
      <w:r>
        <w:rPr>
          <w:sz w:val="21"/>
          <w:lang w:val="es-ES"/>
        </w:rPr>
        <w:t>9</w:t>
      </w:r>
      <w:r w:rsidRPr="00D67150">
        <w:rPr>
          <w:sz w:val="21"/>
          <w:lang w:val="es-ES"/>
        </w:rPr>
        <w:t>.1</w:t>
      </w:r>
      <w:r>
        <w:rPr>
          <w:sz w:val="21"/>
          <w:lang w:val="es-ES"/>
        </w:rPr>
        <w:t>5</w:t>
      </w:r>
      <w:r w:rsidRPr="00D67150">
        <w:rPr>
          <w:sz w:val="21"/>
          <w:lang w:val="es-ES"/>
        </w:rPr>
        <w:t xml:space="preserve"> al único candidato presentado, el Sr. JORDI LLOP CASAMADA.</w:t>
      </w:r>
      <w:r>
        <w:rPr>
          <w:sz w:val="21"/>
          <w:lang w:val="es-ES"/>
        </w:rPr>
        <w:t xml:space="preserve"> </w:t>
      </w:r>
      <w:r w:rsidRPr="00D67150">
        <w:rPr>
          <w:sz w:val="21"/>
          <w:lang w:val="es-ES"/>
        </w:rPr>
        <w:t xml:space="preserve">La tabla adjunta recoge las valoraciones detalladas de los distintos aspectos valorados durante la </w:t>
      </w:r>
      <w:r>
        <w:rPr>
          <w:sz w:val="21"/>
          <w:lang w:val="es-ES"/>
        </w:rPr>
        <w:t>segunda</w:t>
      </w:r>
      <w:r w:rsidRPr="00D67150">
        <w:rPr>
          <w:sz w:val="21"/>
          <w:lang w:val="es-ES"/>
        </w:rPr>
        <w:t xml:space="preserve"> fase de la prueba, tal como se describe en los criterios de valoración previamente aprobados y publicados.</w:t>
      </w:r>
    </w:p>
    <w:p w14:paraId="060D4666" w14:textId="77777777" w:rsidR="006E0743" w:rsidRPr="00D67150" w:rsidRDefault="006E0743" w:rsidP="006E0743">
      <w:pPr>
        <w:spacing w:before="5" w:after="1"/>
        <w:rPr>
          <w:sz w:val="21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6E0743" w14:paraId="7C0BCC29" w14:textId="77777777" w:rsidTr="005E30C4">
        <w:trPr>
          <w:jc w:val="center"/>
        </w:trPr>
        <w:tc>
          <w:tcPr>
            <w:tcW w:w="9889" w:type="dxa"/>
          </w:tcPr>
          <w:p w14:paraId="46525D31" w14:textId="77777777" w:rsidR="006E0743" w:rsidRPr="00D67150" w:rsidRDefault="006E0743" w:rsidP="005E30C4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Aspecto</w:t>
            </w:r>
          </w:p>
        </w:tc>
        <w:tc>
          <w:tcPr>
            <w:tcW w:w="1418" w:type="dxa"/>
          </w:tcPr>
          <w:p w14:paraId="60CE0C19" w14:textId="77777777" w:rsidR="006E0743" w:rsidRPr="00D67150" w:rsidRDefault="006E0743" w:rsidP="005E30C4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</w:t>
            </w:r>
          </w:p>
        </w:tc>
        <w:tc>
          <w:tcPr>
            <w:tcW w:w="1559" w:type="dxa"/>
          </w:tcPr>
          <w:p w14:paraId="5BB2F91E" w14:textId="77777777" w:rsidR="006E0743" w:rsidRPr="00D67150" w:rsidRDefault="006E0743" w:rsidP="005E30C4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 máximo</w:t>
            </w:r>
          </w:p>
        </w:tc>
      </w:tr>
      <w:tr w:rsidR="006E0743" w14:paraId="56F5F003" w14:textId="77777777" w:rsidTr="005E30C4">
        <w:trPr>
          <w:jc w:val="center"/>
        </w:trPr>
        <w:tc>
          <w:tcPr>
            <w:tcW w:w="9889" w:type="dxa"/>
          </w:tcPr>
          <w:p w14:paraId="6BA4400C" w14:textId="77777777" w:rsidR="006E0743" w:rsidRPr="00D67150" w:rsidRDefault="006E0743" w:rsidP="005E30C4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Motivación de la trayectoria</w:t>
            </w:r>
          </w:p>
        </w:tc>
        <w:tc>
          <w:tcPr>
            <w:tcW w:w="1418" w:type="dxa"/>
          </w:tcPr>
          <w:p w14:paraId="1739EFA4" w14:textId="0DF1838C" w:rsidR="006E0743" w:rsidRPr="00D67150" w:rsidRDefault="006E0743" w:rsidP="005E30C4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4,00</w:t>
            </w:r>
          </w:p>
        </w:tc>
        <w:tc>
          <w:tcPr>
            <w:tcW w:w="1559" w:type="dxa"/>
          </w:tcPr>
          <w:p w14:paraId="24AB33FB" w14:textId="77777777" w:rsidR="006E0743" w:rsidRPr="00D67150" w:rsidRDefault="006E0743" w:rsidP="005E30C4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4,75</w:t>
            </w:r>
          </w:p>
        </w:tc>
      </w:tr>
      <w:tr w:rsidR="006E0743" w:rsidRPr="00D67150" w14:paraId="149FC999" w14:textId="77777777" w:rsidTr="005E30C4">
        <w:trPr>
          <w:jc w:val="center"/>
        </w:trPr>
        <w:tc>
          <w:tcPr>
            <w:tcW w:w="9889" w:type="dxa"/>
            <w:vAlign w:val="center"/>
          </w:tcPr>
          <w:p w14:paraId="34057609" w14:textId="77777777" w:rsidR="006E0743" w:rsidRPr="00D67150" w:rsidRDefault="006E0743" w:rsidP="005E30C4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color w:val="000000"/>
                <w:sz w:val="22"/>
                <w:szCs w:val="22"/>
                <w:lang w:val="es-ES"/>
              </w:rPr>
              <w:t>Calidad del discurso en la presentación y en el debate con la comisión</w:t>
            </w:r>
          </w:p>
        </w:tc>
        <w:tc>
          <w:tcPr>
            <w:tcW w:w="1418" w:type="dxa"/>
          </w:tcPr>
          <w:p w14:paraId="508E1408" w14:textId="72F6CC1E" w:rsidR="006E0743" w:rsidRPr="00D67150" w:rsidRDefault="006E0743" w:rsidP="005E30C4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 w:rsidRPr="00D67150">
              <w:rPr>
                <w:b w:val="0"/>
                <w:sz w:val="20"/>
                <w:lang w:val="es-ES"/>
              </w:rPr>
              <w:t>1,9</w:t>
            </w:r>
            <w:r>
              <w:rPr>
                <w:b w:val="0"/>
                <w:sz w:val="20"/>
                <w:lang w:val="es-ES"/>
              </w:rPr>
              <w:t>8</w:t>
            </w:r>
          </w:p>
        </w:tc>
        <w:tc>
          <w:tcPr>
            <w:tcW w:w="1559" w:type="dxa"/>
          </w:tcPr>
          <w:p w14:paraId="75A34BCC" w14:textId="77777777" w:rsidR="006E0743" w:rsidRPr="00D67150" w:rsidRDefault="006E0743" w:rsidP="005E30C4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2,00</w:t>
            </w:r>
          </w:p>
        </w:tc>
      </w:tr>
      <w:tr w:rsidR="006E0743" w14:paraId="6B4EBA00" w14:textId="77777777" w:rsidTr="005E30C4">
        <w:trPr>
          <w:jc w:val="center"/>
        </w:trPr>
        <w:tc>
          <w:tcPr>
            <w:tcW w:w="9889" w:type="dxa"/>
            <w:vAlign w:val="center"/>
          </w:tcPr>
          <w:p w14:paraId="5105A90E" w14:textId="77777777" w:rsidR="006E0743" w:rsidRPr="00D67150" w:rsidRDefault="006E0743" w:rsidP="005E30C4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Capacidad docente en la exposición de la lección</w:t>
            </w:r>
          </w:p>
        </w:tc>
        <w:tc>
          <w:tcPr>
            <w:tcW w:w="1418" w:type="dxa"/>
            <w:vAlign w:val="bottom"/>
          </w:tcPr>
          <w:p w14:paraId="613359F2" w14:textId="367CBC9F" w:rsidR="006E0743" w:rsidRPr="00D67150" w:rsidRDefault="006E0743" w:rsidP="005E30C4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 w:rsidRPr="00D67150">
              <w:rPr>
                <w:b w:val="0"/>
                <w:sz w:val="20"/>
                <w:lang w:val="es-ES"/>
              </w:rPr>
              <w:t>3,1</w:t>
            </w:r>
            <w:r>
              <w:rPr>
                <w:b w:val="0"/>
                <w:sz w:val="20"/>
                <w:lang w:val="es-ES"/>
              </w:rPr>
              <w:t>7</w:t>
            </w:r>
          </w:p>
        </w:tc>
        <w:tc>
          <w:tcPr>
            <w:tcW w:w="1559" w:type="dxa"/>
            <w:vAlign w:val="bottom"/>
          </w:tcPr>
          <w:p w14:paraId="0A0E8D48" w14:textId="77777777" w:rsidR="006E0743" w:rsidRPr="00D67150" w:rsidRDefault="006E0743" w:rsidP="005E30C4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D67150">
              <w:rPr>
                <w:rFonts w:ascii="Calibri" w:hAnsi="Calibri" w:cs="Calibri"/>
                <w:color w:val="000000" w:themeColor="text1"/>
                <w:lang w:val="es-ES"/>
              </w:rPr>
              <w:t>3,25</w:t>
            </w:r>
          </w:p>
        </w:tc>
      </w:tr>
      <w:tr w:rsidR="006E0743" w14:paraId="54DEDC74" w14:textId="77777777" w:rsidTr="005E30C4">
        <w:trPr>
          <w:jc w:val="center"/>
        </w:trPr>
        <w:tc>
          <w:tcPr>
            <w:tcW w:w="9889" w:type="dxa"/>
            <w:vAlign w:val="center"/>
          </w:tcPr>
          <w:p w14:paraId="464290B4" w14:textId="77777777" w:rsidR="006E0743" w:rsidRPr="00D67150" w:rsidRDefault="006E0743" w:rsidP="005E30C4">
            <w:pPr>
              <w:pStyle w:val="Textoindependiente"/>
              <w:spacing w:before="2"/>
              <w:rPr>
                <w:b w:val="0"/>
                <w:sz w:val="20"/>
                <w:lang w:val="es-ES"/>
              </w:rPr>
            </w:pPr>
          </w:p>
        </w:tc>
        <w:tc>
          <w:tcPr>
            <w:tcW w:w="1418" w:type="dxa"/>
            <w:vAlign w:val="bottom"/>
          </w:tcPr>
          <w:p w14:paraId="02B6293A" w14:textId="77777777" w:rsidR="006E0743" w:rsidRPr="00D67150" w:rsidRDefault="006E0743" w:rsidP="005E30C4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</w:p>
        </w:tc>
        <w:tc>
          <w:tcPr>
            <w:tcW w:w="1559" w:type="dxa"/>
            <w:vAlign w:val="bottom"/>
          </w:tcPr>
          <w:p w14:paraId="215855C3" w14:textId="77777777" w:rsidR="006E0743" w:rsidRPr="00D67150" w:rsidRDefault="006E0743" w:rsidP="005E30C4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6E0743" w14:paraId="28E3A39D" w14:textId="77777777" w:rsidTr="005E30C4">
        <w:trPr>
          <w:jc w:val="center"/>
        </w:trPr>
        <w:tc>
          <w:tcPr>
            <w:tcW w:w="9889" w:type="dxa"/>
          </w:tcPr>
          <w:p w14:paraId="04BC2AFB" w14:textId="77777777" w:rsidR="006E0743" w:rsidRPr="00D67150" w:rsidRDefault="006E0743" w:rsidP="005E30C4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 GLOBAL FASE I</w:t>
            </w:r>
          </w:p>
        </w:tc>
        <w:tc>
          <w:tcPr>
            <w:tcW w:w="1418" w:type="dxa"/>
          </w:tcPr>
          <w:p w14:paraId="41C994AF" w14:textId="6CE958FB" w:rsidR="006E0743" w:rsidRPr="00D67150" w:rsidRDefault="006E0743" w:rsidP="005E30C4">
            <w:pPr>
              <w:pStyle w:val="Textoindependiente"/>
              <w:spacing w:before="2"/>
              <w:jc w:val="right"/>
              <w:rPr>
                <w:bCs w:val="0"/>
                <w:sz w:val="20"/>
                <w:lang w:val="es-ES"/>
              </w:rPr>
            </w:pPr>
            <w:r>
              <w:rPr>
                <w:bCs w:val="0"/>
                <w:sz w:val="20"/>
                <w:lang w:val="es-ES"/>
              </w:rPr>
              <w:t>9,15</w:t>
            </w:r>
          </w:p>
        </w:tc>
        <w:tc>
          <w:tcPr>
            <w:tcW w:w="1559" w:type="dxa"/>
          </w:tcPr>
          <w:p w14:paraId="6D59CB92" w14:textId="77777777" w:rsidR="006E0743" w:rsidRPr="00D67150" w:rsidRDefault="006E0743" w:rsidP="005E30C4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10,00</w:t>
            </w:r>
          </w:p>
        </w:tc>
      </w:tr>
    </w:tbl>
    <w:p w14:paraId="40089660" w14:textId="77777777" w:rsidR="006E0743" w:rsidRDefault="006E0743" w:rsidP="006E0743">
      <w:pPr>
        <w:spacing w:before="5" w:after="1"/>
        <w:rPr>
          <w:sz w:val="21"/>
        </w:rPr>
      </w:pPr>
    </w:p>
    <w:p w14:paraId="247DC0A3" w14:textId="77777777" w:rsidR="006E0743" w:rsidRDefault="006E0743" w:rsidP="006E0743">
      <w:pPr>
        <w:spacing w:before="5" w:after="1"/>
        <w:rPr>
          <w:sz w:val="21"/>
        </w:rPr>
      </w:pPr>
    </w:p>
    <w:p w14:paraId="1F66963E" w14:textId="77777777" w:rsidR="006E0743" w:rsidRDefault="006E0743" w:rsidP="00D35AFB">
      <w:pPr>
        <w:pStyle w:val="Textoindependiente"/>
        <w:rPr>
          <w:b w:val="0"/>
          <w:sz w:val="20"/>
          <w:lang w:val="es-ES"/>
        </w:rPr>
      </w:pPr>
    </w:p>
    <w:p w14:paraId="1CFA82C1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176E0D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89D1AF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E20FED4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72DCD737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D394EC5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3A8FA3B9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3388C6FA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21462556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B1316C8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465DB585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409985E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4F271AF3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2A41BD16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36FFC28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0CD72843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35305D0B" w14:textId="77777777"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B6E4C82" w14:textId="77777777"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14:paraId="33376668" w14:textId="77777777" w:rsidR="00D35AFB" w:rsidRDefault="00D35AFB">
      <w:pPr>
        <w:rPr>
          <w:rFonts w:ascii="Times New Roman"/>
          <w:lang w:val="es-ES"/>
        </w:rPr>
      </w:pPr>
    </w:p>
    <w:p w14:paraId="6F606C16" w14:textId="77777777" w:rsidR="00D35AFB" w:rsidRDefault="00D35AFB">
      <w:pPr>
        <w:rPr>
          <w:rFonts w:ascii="Times New Roman"/>
          <w:lang w:val="es-ES"/>
        </w:rPr>
      </w:pPr>
    </w:p>
    <w:p w14:paraId="611F6CB2" w14:textId="77777777" w:rsidR="00D35AFB" w:rsidRDefault="00D35AFB">
      <w:pPr>
        <w:rPr>
          <w:rFonts w:ascii="Times New Roman"/>
          <w:lang w:val="es-ES"/>
        </w:rPr>
      </w:pPr>
    </w:p>
    <w:p w14:paraId="0D99C74D" w14:textId="77777777" w:rsidR="00D35AFB" w:rsidRDefault="00D35AFB">
      <w:pPr>
        <w:rPr>
          <w:rFonts w:ascii="Times New Roman"/>
          <w:lang w:val="es-ES"/>
        </w:rPr>
      </w:pPr>
    </w:p>
    <w:p w14:paraId="5F7F9842" w14:textId="5DD99DD3" w:rsidR="00D7389A" w:rsidRPr="006E0743" w:rsidRDefault="00D7389A" w:rsidP="00D7389A">
      <w:pPr>
        <w:widowControl/>
        <w:adjustRightInd w:val="0"/>
        <w:rPr>
          <w:b/>
          <w:color w:val="000000" w:themeColor="text1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 xml:space="preserve">Valoración mínima para superar la prueba </w:t>
      </w:r>
      <w:r w:rsidR="006E0743">
        <w:rPr>
          <w:b/>
          <w:color w:val="0070C0"/>
          <w:lang w:val="es-ES"/>
        </w:rPr>
        <w:tab/>
      </w:r>
      <w:r w:rsidR="006E0743" w:rsidRPr="006E0743">
        <w:rPr>
          <w:b/>
          <w:color w:val="000000" w:themeColor="text1"/>
          <w:lang w:val="es-ES"/>
        </w:rPr>
        <w:t>9,15</w:t>
      </w:r>
    </w:p>
    <w:p w14:paraId="3D00FA29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989DD18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8F3D8A1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DCA7C71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0C14E0BB" w14:textId="77777777" w:rsidR="00D961C9" w:rsidRDefault="00D961C9">
      <w:pPr>
        <w:rPr>
          <w:rFonts w:ascii="Times New Roman"/>
          <w:lang w:val="es-ES"/>
        </w:rPr>
      </w:pPr>
    </w:p>
    <w:p w14:paraId="17FE2C25" w14:textId="77777777" w:rsidR="00D961C9" w:rsidRDefault="00D961C9">
      <w:pPr>
        <w:rPr>
          <w:rFonts w:ascii="Times New Roman"/>
          <w:lang w:val="es-ES"/>
        </w:rPr>
      </w:pPr>
    </w:p>
    <w:p w14:paraId="0CF0427D" w14:textId="77777777" w:rsidR="00D961C9" w:rsidRDefault="00D961C9">
      <w:pPr>
        <w:rPr>
          <w:rFonts w:ascii="Times New Roman"/>
          <w:lang w:val="es-ES"/>
        </w:rPr>
      </w:pPr>
    </w:p>
    <w:p w14:paraId="78336DFA" w14:textId="77777777" w:rsidR="00D961C9" w:rsidRDefault="00D961C9">
      <w:pPr>
        <w:rPr>
          <w:rFonts w:ascii="Times New Roman"/>
          <w:lang w:val="es-ES"/>
        </w:rPr>
      </w:pPr>
    </w:p>
    <w:p w14:paraId="680F1557" w14:textId="77777777" w:rsidR="00D961C9" w:rsidRDefault="00D961C9">
      <w:pPr>
        <w:rPr>
          <w:rFonts w:ascii="Times New Roman"/>
          <w:lang w:val="es-ES"/>
        </w:rPr>
      </w:pPr>
    </w:p>
    <w:p w14:paraId="25B29ED2" w14:textId="77777777" w:rsidR="00D961C9" w:rsidRDefault="00D961C9">
      <w:pPr>
        <w:rPr>
          <w:rFonts w:ascii="Times New Roman"/>
          <w:lang w:val="es-ES"/>
        </w:rPr>
      </w:pPr>
    </w:p>
    <w:p w14:paraId="5083AD90" w14:textId="77777777" w:rsidR="00D961C9" w:rsidRDefault="00D961C9">
      <w:pPr>
        <w:rPr>
          <w:rFonts w:ascii="Times New Roman"/>
          <w:lang w:val="es-ES"/>
        </w:rPr>
      </w:pPr>
    </w:p>
    <w:p w14:paraId="66A64DE5" w14:textId="77777777" w:rsidR="00D961C9" w:rsidRDefault="00D961C9">
      <w:pPr>
        <w:rPr>
          <w:rFonts w:ascii="Times New Roman"/>
          <w:lang w:val="es-ES"/>
        </w:rPr>
      </w:pPr>
    </w:p>
    <w:p w14:paraId="15072934" w14:textId="77777777" w:rsidR="00D961C9" w:rsidRDefault="00D961C9">
      <w:pPr>
        <w:rPr>
          <w:rFonts w:ascii="Times New Roman"/>
          <w:lang w:val="es-ES"/>
        </w:rPr>
      </w:pPr>
    </w:p>
    <w:p w14:paraId="4EC46FA7" w14:textId="77777777" w:rsidR="00D961C9" w:rsidRDefault="00D961C9">
      <w:pPr>
        <w:rPr>
          <w:rFonts w:ascii="Times New Roman"/>
          <w:lang w:val="es-ES"/>
        </w:rPr>
      </w:pPr>
    </w:p>
    <w:p w14:paraId="60FC499C" w14:textId="77777777" w:rsidR="00D961C9" w:rsidRDefault="00D961C9">
      <w:pPr>
        <w:rPr>
          <w:rFonts w:ascii="Times New Roman"/>
          <w:lang w:val="es-ES"/>
        </w:rPr>
      </w:pPr>
    </w:p>
    <w:p w14:paraId="49A0CDBF" w14:textId="77777777" w:rsidR="00D961C9" w:rsidRDefault="00D961C9">
      <w:pPr>
        <w:rPr>
          <w:rFonts w:ascii="Times New Roman"/>
          <w:lang w:val="es-ES"/>
        </w:rPr>
      </w:pPr>
    </w:p>
    <w:p w14:paraId="3901FDB1" w14:textId="77777777"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1C6E38F5" w14:textId="77777777"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4B8BD7AF" w14:textId="77777777"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3DC11D82" w14:textId="77777777" w:rsidTr="001C62DC">
        <w:trPr>
          <w:trHeight w:val="275"/>
        </w:trPr>
        <w:tc>
          <w:tcPr>
            <w:tcW w:w="6095" w:type="dxa"/>
          </w:tcPr>
          <w:p w14:paraId="4EDE35C1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715BA78A" w14:textId="77777777" w:rsidTr="001C62DC">
        <w:trPr>
          <w:trHeight w:val="275"/>
        </w:trPr>
        <w:tc>
          <w:tcPr>
            <w:tcW w:w="6095" w:type="dxa"/>
          </w:tcPr>
          <w:p w14:paraId="3495C963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RPr="006E0743" w14:paraId="3854620B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64374B66" w14:textId="0FA1E547" w:rsidR="001C62DC" w:rsidRPr="006E0743" w:rsidRDefault="006E0743" w:rsidP="006E0743">
            <w:pPr>
              <w:pStyle w:val="TableParagraph"/>
              <w:jc w:val="center"/>
            </w:pPr>
            <w:r w:rsidRPr="006E0743">
              <w:t>Emilio GIL MOYA</w:t>
            </w:r>
          </w:p>
        </w:tc>
      </w:tr>
    </w:tbl>
    <w:p w14:paraId="18421F9B" w14:textId="77777777"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B695" w14:textId="77777777" w:rsidR="00E85295" w:rsidRDefault="00E85295">
      <w:r>
        <w:separator/>
      </w:r>
    </w:p>
  </w:endnote>
  <w:endnote w:type="continuationSeparator" w:id="0">
    <w:p w14:paraId="2039A572" w14:textId="77777777" w:rsidR="00E85295" w:rsidRDefault="00E8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3F01" w14:textId="77777777"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377DDB60" wp14:editId="7255BAED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11A1F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7DDB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" strokecolor="white [3212]">
              <v:textbox style="mso-fit-shape-to-text:t">
                <w:txbxContent>
                  <w:p w14:paraId="5DF11A1F" w14:textId="77777777"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53330179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6CC5F63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49745066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0E3D476D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721A" w14:textId="77777777" w:rsidR="00E85295" w:rsidRDefault="00E85295">
      <w:r>
        <w:separator/>
      </w:r>
    </w:p>
  </w:footnote>
  <w:footnote w:type="continuationSeparator" w:id="0">
    <w:p w14:paraId="0E7D5144" w14:textId="77777777" w:rsidR="00E85295" w:rsidRDefault="00E8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82C7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EF9A2" wp14:editId="3F0B81C3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594365"/>
    <w:rsid w:val="00676BB5"/>
    <w:rsid w:val="006E0743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E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06C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E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2</cp:revision>
  <dcterms:created xsi:type="dcterms:W3CDTF">2022-05-15T00:09:00Z</dcterms:created>
  <dcterms:modified xsi:type="dcterms:W3CDTF">2022-05-15T00:09:00Z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