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4A3A39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LE-25/724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  <w:bookmarkStart w:id="2" w:name="_GoBack"/>
      <w:bookmarkEnd w:id="2"/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NICOLÁS ABLANQUE MEJÍA (25/80)</w:t>
      </w: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DAVID BERMEJO PLANA (46/80)</w:t>
      </w:r>
    </w:p>
    <w:p w:rsidR="004A3A39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JOAN CALAFELL SANDIUMENGE (45/80)</w:t>
      </w: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>
        <w:rPr>
          <w:b/>
        </w:rPr>
        <w:t>SASAN MORADI (35.5/80)</w:t>
      </w: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SANTIAGO TORRAS ORTIZ (23/80)</w:t>
      </w: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DAVID BERMEJO PLANA</w:t>
      </w:r>
    </w:p>
    <w:p w:rsidR="004A3A39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JOAN CALAFELL SANDIUMENGE</w:t>
      </w:r>
    </w:p>
    <w:p w:rsidR="007D4A0B" w:rsidRDefault="004A3A39" w:rsidP="004A3A39">
      <w:pPr>
        <w:pStyle w:val="Textindependent"/>
        <w:spacing w:before="2"/>
        <w:ind w:left="1440"/>
        <w:rPr>
          <w:b/>
          <w:sz w:val="20"/>
        </w:rPr>
      </w:pPr>
      <w:r>
        <w:rPr>
          <w:b/>
        </w:rPr>
        <w:t>SASAN MORADI</w:t>
      </w: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DENIZ KIZILDAG</w:t>
      </w:r>
    </w:p>
    <w:p w:rsidR="004A3A39" w:rsidRPr="008A0A26" w:rsidRDefault="004A3A39" w:rsidP="004A3A39">
      <w:pPr>
        <w:pStyle w:val="Textindependent"/>
        <w:spacing w:before="2"/>
        <w:ind w:left="1440"/>
        <w:rPr>
          <w:b/>
        </w:rPr>
      </w:pPr>
      <w:r w:rsidRPr="008A0A26">
        <w:rPr>
          <w:b/>
        </w:rPr>
        <w:t>EUGENIO SCHILLACI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941040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ndez </w:t>
            </w:r>
            <w:proofErr w:type="spellStart"/>
            <w:r>
              <w:rPr>
                <w:rFonts w:ascii="Times New Roman"/>
              </w:rPr>
              <w:t>Francos</w:t>
            </w:r>
            <w:proofErr w:type="spellEnd"/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93" w:rsidRDefault="00453C93">
      <w:r>
        <w:separator/>
      </w:r>
    </w:p>
  </w:endnote>
  <w:endnote w:type="continuationSeparator" w:id="0">
    <w:p w:rsidR="00453C93" w:rsidRDefault="004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93" w:rsidRDefault="00453C93">
      <w:r>
        <w:separator/>
      </w:r>
    </w:p>
  </w:footnote>
  <w:footnote w:type="continuationSeparator" w:id="0">
    <w:p w:rsidR="00453C93" w:rsidRDefault="0045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4021D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53C93"/>
    <w:rsid w:val="00462D79"/>
    <w:rsid w:val="004A3A3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41040"/>
    <w:rsid w:val="00960398"/>
    <w:rsid w:val="009F0719"/>
    <w:rsid w:val="00A93EF4"/>
    <w:rsid w:val="00AA490B"/>
    <w:rsid w:val="00AE0AC0"/>
    <w:rsid w:val="00AE7053"/>
    <w:rsid w:val="00B31CEE"/>
    <w:rsid w:val="00B50076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1463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15</cp:revision>
  <dcterms:created xsi:type="dcterms:W3CDTF">2023-05-24T15:03:00Z</dcterms:created>
  <dcterms:modified xsi:type="dcterms:W3CDTF">2023-07-04T11:40:00Z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