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32A73" w:rsidP="001D0BBE">
            <w:pPr>
              <w:pStyle w:val="TableParagraph"/>
              <w:rPr>
                <w:rFonts w:ascii="Times New Roman"/>
              </w:rPr>
            </w:pPr>
            <w:r w:rsidRPr="00AF52EA">
              <w:rPr>
                <w:b/>
                <w:sz w:val="20"/>
                <w:szCs w:val="20"/>
              </w:rPr>
              <w:t>LE-11-12-13/710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693"/>
        <w:gridCol w:w="1567"/>
      </w:tblGrid>
      <w:tr w:rsidR="00632A73" w:rsidTr="008840A5">
        <w:tc>
          <w:tcPr>
            <w:tcW w:w="4503" w:type="dxa"/>
          </w:tcPr>
          <w:p w:rsidR="00632A73" w:rsidRDefault="00632A73" w:rsidP="008840A5">
            <w:pPr>
              <w:pStyle w:val="Textindependent"/>
              <w:spacing w:befor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</w:t>
            </w:r>
          </w:p>
        </w:tc>
        <w:tc>
          <w:tcPr>
            <w:tcW w:w="2693" w:type="dxa"/>
          </w:tcPr>
          <w:p w:rsidR="00632A73" w:rsidRDefault="00632A73" w:rsidP="008840A5">
            <w:pPr>
              <w:pStyle w:val="Textindependent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HISTORIAL ACADÉMICO</w:t>
            </w:r>
          </w:p>
          <w:p w:rsidR="00632A73" w:rsidRDefault="00632A73" w:rsidP="008840A5">
            <w:pPr>
              <w:pStyle w:val="Textindependent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632A73" w:rsidRDefault="00632A73" w:rsidP="008840A5">
            <w:pPr>
              <w:pStyle w:val="Textindependent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TRABAJO</w:t>
            </w:r>
          </w:p>
        </w:tc>
        <w:tc>
          <w:tcPr>
            <w:tcW w:w="2693" w:type="dxa"/>
          </w:tcPr>
          <w:p w:rsidR="00632A73" w:rsidRDefault="00632A73" w:rsidP="008840A5">
            <w:pPr>
              <w:pStyle w:val="Textindependent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MÉRITOS PREFERENTES</w:t>
            </w:r>
          </w:p>
        </w:tc>
        <w:tc>
          <w:tcPr>
            <w:tcW w:w="1567" w:type="dxa"/>
          </w:tcPr>
          <w:p w:rsidR="00632A73" w:rsidRDefault="00632A73" w:rsidP="008840A5">
            <w:pPr>
              <w:pStyle w:val="Textindependent"/>
              <w:spacing w:befor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ALONSO VALDESUEIRO, JAVIER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AVIÑÓ SALVADÓ, ORIOL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BOGONEZ FRANCO, FRANCISCO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CASALS GUILLEN, OLGA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DOMENECH GIL, GUILLEM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n-US"/>
              </w:rPr>
            </w:pPr>
            <w:r w:rsidRPr="00900500">
              <w:rPr>
                <w:sz w:val="20"/>
                <w:szCs w:val="20"/>
                <w:lang w:val="en-US"/>
              </w:rPr>
              <w:t>ESPINA MASRAMON, JORGE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  <w:lang w:val="es-ES"/>
              </w:rPr>
              <w:t>FILBÀ MARTÍNEZ, ÀLBER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  <w:lang w:val="es-ES"/>
              </w:rPr>
              <w:t>GÓMEZ P</w:t>
            </w:r>
            <w:r w:rsidRPr="00900500">
              <w:rPr>
                <w:sz w:val="20"/>
                <w:szCs w:val="20"/>
              </w:rPr>
              <w:t>AU, ÁLVARO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32,17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</w:rPr>
              <w:t>JOFRE CRUANYES, MARC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</w:rPr>
            </w:pPr>
            <w:r w:rsidRPr="00900500">
              <w:rPr>
                <w:sz w:val="20"/>
                <w:szCs w:val="20"/>
              </w:rPr>
              <w:t>LUMBRERAS CARRASCO, DAVID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n-US"/>
              </w:rPr>
            </w:pPr>
            <w:r w:rsidRPr="00900500">
              <w:rPr>
                <w:sz w:val="20"/>
                <w:szCs w:val="20"/>
                <w:lang w:val="en-US"/>
              </w:rPr>
              <w:t>MASMITJÀ RUSIÑOL, GERARD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  <w:lang w:val="es-ES"/>
              </w:rPr>
              <w:t>MASMITJÀ RUSIÑOL, IVÁN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  <w:lang w:val="es-ES"/>
              </w:rPr>
              <w:t>MILLÁN B</w:t>
            </w:r>
            <w:r w:rsidRPr="00900500">
              <w:rPr>
                <w:sz w:val="20"/>
                <w:szCs w:val="20"/>
              </w:rPr>
              <w:t>LASCO, OLIVER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</w:rPr>
              <w:t>MORADI, BAHAREH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43,67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</w:rPr>
              <w:t>ROMÀ DOLLASE, DAVID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</w:rPr>
              <w:t>VESCIO, GIOVANNI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43,33</w:t>
            </w:r>
          </w:p>
        </w:tc>
      </w:tr>
      <w:tr w:rsidR="00632A73" w:rsidTr="008840A5">
        <w:tc>
          <w:tcPr>
            <w:tcW w:w="4503" w:type="dxa"/>
          </w:tcPr>
          <w:p w:rsidR="00632A73" w:rsidRPr="00900500" w:rsidRDefault="00632A73" w:rsidP="008840A5">
            <w:pPr>
              <w:rPr>
                <w:sz w:val="20"/>
                <w:szCs w:val="20"/>
                <w:lang w:val="es-ES"/>
              </w:rPr>
            </w:pPr>
            <w:r w:rsidRPr="00900500">
              <w:rPr>
                <w:sz w:val="20"/>
                <w:szCs w:val="20"/>
              </w:rPr>
              <w:t>YEDRA CARDONA, LLUÍS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632A73" w:rsidRPr="00484112" w:rsidRDefault="00632A73" w:rsidP="008840A5">
            <w:pPr>
              <w:pStyle w:val="Textindependent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BOGONEZ FRANCO, FRANCISCO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CASALS GUILLEN, OLGA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FILBÀ MARTÍNEZ, ÀLBER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GÓMEZ PAU, ÁLVARO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2A73" w:rsidRPr="00316E69" w:rsidRDefault="00632A73" w:rsidP="00632A73">
      <w:pPr>
        <w:pStyle w:val="Textindependent"/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JOFRE CRUANYES, MARC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32A73" w:rsidRPr="00632A73" w:rsidRDefault="00632A73" w:rsidP="00632A73">
      <w:pPr>
        <w:pStyle w:val="Textindependent"/>
        <w:spacing w:before="2"/>
        <w:rPr>
          <w:b/>
          <w:sz w:val="20"/>
          <w:szCs w:val="20"/>
          <w:lang w:val="es-ES"/>
        </w:rPr>
      </w:pPr>
      <w:r w:rsidRPr="00632A73">
        <w:rPr>
          <w:b/>
          <w:sz w:val="20"/>
          <w:szCs w:val="20"/>
          <w:lang w:val="es-ES"/>
        </w:rPr>
        <w:t>MASMITJÀ RUSIÑOL, GERARD</w:t>
      </w:r>
      <w:r w:rsidRPr="00632A73">
        <w:rPr>
          <w:b/>
          <w:sz w:val="20"/>
          <w:szCs w:val="20"/>
          <w:lang w:val="es-ES"/>
        </w:rPr>
        <w:tab/>
      </w:r>
      <w:r w:rsidRPr="00632A73">
        <w:rPr>
          <w:b/>
          <w:sz w:val="20"/>
          <w:szCs w:val="20"/>
          <w:lang w:val="es-ES"/>
        </w:rPr>
        <w:tab/>
      </w:r>
    </w:p>
    <w:p w:rsidR="00F81871" w:rsidRDefault="00632A73" w:rsidP="00632A73">
      <w:pPr>
        <w:pStyle w:val="Textindependent"/>
        <w:spacing w:before="2"/>
        <w:rPr>
          <w:b/>
          <w:sz w:val="20"/>
        </w:rPr>
      </w:pPr>
      <w:r w:rsidRPr="00632A73">
        <w:rPr>
          <w:b/>
          <w:sz w:val="20"/>
          <w:szCs w:val="20"/>
          <w:lang w:val="es-ES"/>
        </w:rPr>
        <w:t>MASMITJÀ RUSIÑOL, IVÁN</w:t>
      </w:r>
      <w:r w:rsidRPr="00632A73">
        <w:rPr>
          <w:b/>
          <w:sz w:val="20"/>
          <w:szCs w:val="20"/>
          <w:lang w:val="es-ES"/>
        </w:rPr>
        <w:tab/>
      </w:r>
      <w:r w:rsidRPr="00632A73">
        <w:rPr>
          <w:b/>
          <w:sz w:val="20"/>
          <w:szCs w:val="20"/>
          <w:lang w:val="es-ES"/>
        </w:rPr>
        <w:tab/>
      </w:r>
      <w:r w:rsidRPr="00632A73">
        <w:rPr>
          <w:b/>
          <w:sz w:val="20"/>
          <w:szCs w:val="20"/>
          <w:lang w:val="es-ES"/>
        </w:rPr>
        <w:tab/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632A73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CARANDELL WIDMER, MATIAS</w:t>
      </w:r>
    </w:p>
    <w:p w:rsidR="00632A73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MARTÍNEZ ESTRADA, MARC</w:t>
      </w:r>
    </w:p>
    <w:p w:rsidR="00632A73" w:rsidRPr="00316E69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NICOLAS APRUZZESE, JOAN</w:t>
      </w:r>
    </w:p>
    <w:p w:rsidR="00632A73" w:rsidRPr="00316E69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PALACIO BONET, FRANCISCO</w:t>
      </w:r>
    </w:p>
    <w:p w:rsidR="00632A73" w:rsidRPr="00316E69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PAREDES CAMACHO, ALEJANDRO</w:t>
      </w:r>
    </w:p>
    <w:p w:rsidR="00632A73" w:rsidRDefault="00632A73" w:rsidP="00632A73">
      <w:pPr>
        <w:rPr>
          <w:sz w:val="20"/>
          <w:szCs w:val="20"/>
        </w:rPr>
      </w:pPr>
      <w:r>
        <w:rPr>
          <w:sz w:val="20"/>
          <w:szCs w:val="20"/>
        </w:rPr>
        <w:t>ROMERO PÉREZ, DANIEL</w:t>
      </w: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  <w:bookmarkStart w:id="5" w:name="_GoBack"/>
      <w:bookmarkEnd w:id="5"/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7F0AB1" w:rsidP="007F0AB1">
            <w:pPr>
              <w:pStyle w:val="TableParagraph"/>
              <w:ind w:left="465" w:right="466"/>
              <w:jc w:val="center"/>
              <w:rPr>
                <w:rFonts w:ascii="Times New Roman"/>
              </w:rPr>
            </w:pPr>
            <w:r w:rsidRPr="007F0AB1">
              <w:rPr>
                <w:sz w:val="24"/>
              </w:rPr>
              <w:t>Jordi Salazar Soler</w:t>
            </w:r>
          </w:p>
        </w:tc>
      </w:tr>
    </w:tbl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43C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A6756"/>
    <w:rsid w:val="00603033"/>
    <w:rsid w:val="00616902"/>
    <w:rsid w:val="00632A73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7F0AB1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54ECE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13</cp:revision>
  <dcterms:created xsi:type="dcterms:W3CDTF">2023-05-24T15:03:00Z</dcterms:created>
  <dcterms:modified xsi:type="dcterms:W3CDTF">2023-07-10T13:01:00Z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