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" w:lineRule="auto"/>
        <w:ind w:left="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COMUNICACIÓ 3</w:t>
      </w:r>
    </w:p>
    <w:p w:rsidR="00000000" w:rsidDel="00000000" w:rsidP="00000000" w:rsidRDefault="00000000" w:rsidRPr="00000000" w14:paraId="00000003">
      <w:pPr>
        <w:spacing w:before="12" w:lineRule="auto"/>
        <w:ind w:left="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" w:lineRule="auto"/>
        <w:ind w:left="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VALORACIÓ PRIMERA PROVA</w:t>
      </w:r>
    </w:p>
    <w:p w:rsidR="00000000" w:rsidDel="00000000" w:rsidP="00000000" w:rsidRDefault="00000000" w:rsidRPr="00000000" w14:paraId="00000005">
      <w:pPr>
        <w:pStyle w:val="Heading1"/>
        <w:spacing w:after="4" w:line="272" w:lineRule="auto"/>
        <w:ind w:left="2164" w:firstLine="0"/>
        <w:rPr/>
      </w:pPr>
      <w:r w:rsidDel="00000000" w:rsidR="00000000" w:rsidRPr="00000000">
        <w:rPr>
          <w:color w:val="0070c0"/>
          <w:rtl w:val="0"/>
        </w:rPr>
        <w:t xml:space="preserve">VALORACIÓN PRIMERA PRUEBA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66.999999999998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389"/>
        <w:gridCol w:w="9478"/>
        <w:tblGridChange w:id="0">
          <w:tblGrid>
            <w:gridCol w:w="3389"/>
            <w:gridCol w:w="9478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00" w:right="38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75"/>
              </w:tabs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LE-41-737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400" w:right="38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La valoració dels mèrits preferents són els que consten a la relació definitiva d’acreditació dels mèrits publicats a la página web de la convocatòoria.</w:t>
        <w:br w:type="textWrapping"/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La valoración de los méritos preferentes son los que constan en la relación definitiva de acreditación de los méritos publicados a la página web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NOMS ASPIRANTS I VALORACIONS (Historial acadèmic i pla de treball + mèrits preferents)</w:t>
        <w:br w:type="textWrapping"/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NOMBRES ASPIRANTES Y VALORACIÓNES (Historial académico y plan de Trabajo + méritos preferentes)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" w:before="5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MENDIZABAL DINUCCI, VIRGINIA DOLORES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5" w:lineRule="auto"/>
        <w:ind w:left="284" w:firstLine="0"/>
        <w:rPr>
          <w:b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26.0" w:type="dxa"/>
        <w:jc w:val="left"/>
        <w:tblInd w:w="284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91"/>
        <w:gridCol w:w="6224"/>
        <w:gridCol w:w="5093"/>
        <w:gridCol w:w="1418"/>
        <w:tblGridChange w:id="0">
          <w:tblGrid>
            <w:gridCol w:w="391"/>
            <w:gridCol w:w="6224"/>
            <w:gridCol w:w="5093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7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Historial Acadèmic. Valoració docencia</w:t>
              <w:br w:type="textWrapping"/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Historial académico. Valoración de docencia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a61c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C">
            <w:pPr>
              <w:spacing w:line="231.2116241455078" w:lineRule="auto"/>
              <w:ind w:left="138.86001586914062" w:right="843.14208984375" w:hanging="18.39996337890625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Impartició d'assignatures de grau i/o màster en l'àmbit en l'àmbit de la plaça.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color w:val="98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0">
            <w:pPr>
              <w:spacing w:line="231.2116241455078" w:lineRule="auto"/>
              <w:ind w:left="138.86001586914062" w:right="843.14208984375" w:hanging="18.39996337890625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Direcció de TFG i/o TFM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color w:val="98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4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before="5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26.0" w:type="dxa"/>
        <w:jc w:val="left"/>
        <w:tblInd w:w="284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91"/>
        <w:gridCol w:w="6224"/>
        <w:gridCol w:w="5093"/>
        <w:gridCol w:w="1418"/>
        <w:tblGridChange w:id="0">
          <w:tblGrid>
            <w:gridCol w:w="391"/>
            <w:gridCol w:w="6224"/>
            <w:gridCol w:w="5093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8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Historial Acadèmic. Valoració recerca</w:t>
              <w:br w:type="textWrapping"/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Historial académico. Valoración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980000"/>
                <w:sz w:val="20"/>
                <w:szCs w:val="20"/>
                <w:rtl w:val="0"/>
              </w:rPr>
              <w:t xml:space="preserve">8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D">
            <w:pPr>
              <w:spacing w:line="229.4736099243164" w:lineRule="auto"/>
              <w:ind w:left="138.86001586914062" w:right="448.460693359375" w:hanging="18.39996337890625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Publicacions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color w:val="98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1">
            <w:pPr>
              <w:spacing w:line="229.4736099243164" w:lineRule="auto"/>
              <w:ind w:left="138.86001586914062" w:right="448.460693359375" w:hanging="18.39996337890625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Participació en projectes de recerca.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color w:val="cc4125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5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before="5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26.0" w:type="dxa"/>
        <w:jc w:val="left"/>
        <w:tblInd w:w="284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91"/>
        <w:gridCol w:w="6224"/>
        <w:gridCol w:w="5093"/>
        <w:gridCol w:w="1418"/>
        <w:tblGridChange w:id="0">
          <w:tblGrid>
            <w:gridCol w:w="391"/>
            <w:gridCol w:w="6224"/>
            <w:gridCol w:w="5093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9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Historial Acadèmic. Valoració recerca. Transferència de tecnología</w:t>
              <w:br w:type="textWrapping"/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Historial académico. Tranferencia de 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a61c00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E">
            <w:pPr>
              <w:ind w:left="125.0599670410156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Participació en contractes de transferència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color w:val="a61c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2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6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before="5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126.0" w:type="dxa"/>
        <w:jc w:val="left"/>
        <w:tblInd w:w="284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91"/>
        <w:gridCol w:w="6224"/>
        <w:gridCol w:w="5093"/>
        <w:gridCol w:w="1418"/>
        <w:tblGridChange w:id="0">
          <w:tblGrid>
            <w:gridCol w:w="391"/>
            <w:gridCol w:w="6224"/>
            <w:gridCol w:w="5093"/>
            <w:gridCol w:w="1418"/>
          </w:tblGrid>
        </w:tblGridChange>
      </w:tblGrid>
      <w:tr>
        <w:trPr>
          <w:cantSplit w:val="0"/>
          <w:trHeight w:val="404.96093749999994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A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Historial Acadèmic. Altres</w:t>
              <w:br w:type="textWrapping"/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Historial académico. 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a61c00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5</w:t>
            </w:r>
          </w:p>
        </w:tc>
        <w:tc>
          <w:tcPr>
            <w:tcBorders>
              <w:bottom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.9804687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F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 a terme activitats de difusió científica i tecnològica en àmbits preuniversitaris</w:t>
            </w:r>
          </w:p>
        </w:tc>
        <w:tc>
          <w:tcPr>
            <w:tcBorders>
              <w:top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51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color w:val="cc4125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3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7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before="5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26.0" w:type="dxa"/>
        <w:jc w:val="left"/>
        <w:tblInd w:w="284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91"/>
        <w:gridCol w:w="6224"/>
        <w:gridCol w:w="5093"/>
        <w:gridCol w:w="1418"/>
        <w:tblGridChange w:id="0">
          <w:tblGrid>
            <w:gridCol w:w="391"/>
            <w:gridCol w:w="6224"/>
            <w:gridCol w:w="5093"/>
            <w:gridCol w:w="1418"/>
          </w:tblGrid>
        </w:tblGridChange>
      </w:tblGrid>
      <w:tr>
        <w:trPr>
          <w:cantSplit w:val="0"/>
          <w:trHeight w:val="479.96093749999994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B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 de treball </w:t>
              <w:br w:type="textWrapping"/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Plan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a61c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0">
            <w:pPr>
              <w:spacing w:before="11.9189453125" w:line="243.380870819091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Coherència i estructura, amb objectius clars i ben definits, adequats a la plaça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spacing w:before="5" w:lineRule="auto"/>
              <w:jc w:val="right"/>
              <w:rPr>
                <w:color w:val="a61c00"/>
                <w:sz w:val="20"/>
                <w:szCs w:val="20"/>
              </w:rPr>
            </w:pPr>
            <w:r w:rsidDel="00000000" w:rsidR="00000000" w:rsidRPr="00000000">
              <w:rPr>
                <w:color w:val="a61c00"/>
                <w:sz w:val="20"/>
                <w:szCs w:val="20"/>
                <w:rtl w:val="0"/>
              </w:rPr>
              <w:t xml:space="preserve">7 de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4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8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spacing w:before="5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MÈRITS PREFERENTS =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2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TOTAL PRIMERA FASE= </w:t>
      </w:r>
      <w:r w:rsidDel="00000000" w:rsidR="00000000" w:rsidRPr="00000000">
        <w:rPr>
          <w:b w:val="1"/>
          <w:color w:val="a61c00"/>
          <w:sz w:val="20"/>
          <w:szCs w:val="20"/>
          <w:rtl w:val="0"/>
        </w:rPr>
        <w:t xml:space="preserve"> 34 </w:t>
      </w:r>
      <w:r w:rsidDel="00000000" w:rsidR="00000000" w:rsidRPr="00000000">
        <w:rPr>
          <w:b w:val="1"/>
          <w:sz w:val="20"/>
          <w:szCs w:val="20"/>
          <w:rtl w:val="0"/>
        </w:rPr>
        <w:t xml:space="preserve">PUNTOS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NOMS ASPIRANTS QUE SUPEREN LA PRIMERA PROVA I ACCEDEIXEN A LA SEGONA PROVA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(D’acord amb els criteris acordats i les condicions per superar la prova)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NOMBRES DE LOS ASPIRANTES QUE SUPERAN LA PRIMERA PRUEBA I ACCEDEN AL SEGUNDA PRUEBA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(De acuerdo con los criterios acordados y las condiciones para superar la prueba)</w:t>
        <w:br w:type="textWrapping"/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MENDIZABAL DINUCCI, VIRGINIA DOLORES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Les següents persones candidates no han presentat l’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Historial acadèmic i professional i el pla de treball d’acord amb les bases de la convocatòria, per tant, desisteixen en participar en el procés selectiu.</w:t>
      </w:r>
    </w:p>
    <w:p w:rsidR="00000000" w:rsidDel="00000000" w:rsidP="00000000" w:rsidRDefault="00000000" w:rsidRPr="00000000" w14:paraId="00000088">
      <w:pPr>
        <w:widowControl w:val="1"/>
        <w:jc w:val="both"/>
        <w:rPr>
          <w:color w:val="0070c0"/>
          <w:sz w:val="20"/>
          <w:szCs w:val="20"/>
        </w:rPr>
      </w:pPr>
      <w:r w:rsidDel="00000000" w:rsidR="00000000" w:rsidRPr="00000000">
        <w:rPr>
          <w:color w:val="0070c0"/>
          <w:sz w:val="20"/>
          <w:szCs w:val="20"/>
          <w:rtl w:val="0"/>
        </w:rPr>
        <w:t xml:space="preserve">Las siguientes persones candidatas no han presentado el Historial académico y profesional y el plan de trabajo de acuerdo con las bases de la convocatoria, y por tanto, desisten a participar en el proceso selectivo.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 aquesta valoració es pot presentar reclamació davant el rector en el termini de 10 dies naturals a comptar des de la publicació de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valoració de la proposta de contractació</w:t>
      </w:r>
      <w:r w:rsidDel="00000000" w:rsidR="00000000" w:rsidRPr="00000000">
        <w:rPr>
          <w:sz w:val="20"/>
          <w:szCs w:val="20"/>
          <w:rtl w:val="0"/>
        </w:rPr>
        <w:t xml:space="preserve"> al tauler d’anuncis de la comissió, tal i com s’estableix a les bases de la convocatòria.</w:t>
      </w:r>
    </w:p>
    <w:p w:rsidR="00000000" w:rsidDel="00000000" w:rsidP="00000000" w:rsidRDefault="00000000" w:rsidRPr="00000000" w14:paraId="00000092">
      <w:pPr>
        <w:widowControl w:val="1"/>
        <w:jc w:val="both"/>
        <w:rPr>
          <w:color w:val="0070c0"/>
        </w:rPr>
      </w:pPr>
      <w:r w:rsidDel="00000000" w:rsidR="00000000" w:rsidRPr="00000000">
        <w:rPr>
          <w:color w:val="0070c0"/>
          <w:sz w:val="20"/>
          <w:szCs w:val="20"/>
          <w:rtl w:val="0"/>
        </w:rPr>
        <w:t xml:space="preserve">Contra aquesta valoració se puede presentar reclamación ante el rector en el plazo de 10 días naturales a contar desde la publicación de la </w:t>
      </w:r>
      <w:r w:rsidDel="00000000" w:rsidR="00000000" w:rsidRPr="00000000">
        <w:rPr>
          <w:b w:val="1"/>
          <w:color w:val="0070c0"/>
          <w:sz w:val="20"/>
          <w:szCs w:val="20"/>
          <w:rtl w:val="0"/>
        </w:rPr>
        <w:t xml:space="preserve">valoración de la propuesta de contratación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 en el tablón de anuncios de la comisión, tal y como se estable en las bases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103.0" w:type="dxa"/>
        <w:jc w:val="left"/>
        <w:tblInd w:w="4400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5103"/>
        <w:tblGridChange w:id="0">
          <w:tblGrid>
            <w:gridCol w:w="5103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JOAQUÍN HERNÁNDEZ ORTEGA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23820" w:w="16840" w:orient="portrait"/>
      <w:pgMar w:bottom="2127" w:top="1985" w:left="1460" w:right="1980" w:header="876" w:footer="7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Comunicació 3  - valoració primera prova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71" w:right="214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ca-ES"/>
    </w:rPr>
  </w:style>
  <w:style w:type="paragraph" w:styleId="Ttol1">
    <w:name w:val="heading 1"/>
    <w:basedOn w:val="Normal"/>
    <w:uiPriority w:val="1"/>
    <w:qFormat w:val="1"/>
    <w:pPr>
      <w:ind w:left="2271" w:right="2148"/>
      <w:jc w:val="center"/>
      <w:outlineLvl w:val="0"/>
    </w:pPr>
    <w:rPr>
      <w:b w:val="1"/>
      <w:bCs w:val="1"/>
      <w:sz w:val="24"/>
      <w:szCs w:val="24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24"/>
      <w:szCs w:val="24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 w:val="1"/>
    <w:rsid w:val="00603033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603033"/>
    <w:rPr>
      <w:rFonts w:ascii="Arial" w:cs="Arial" w:eastAsia="Arial" w:hAnsi="Arial"/>
    </w:rPr>
  </w:style>
  <w:style w:type="paragraph" w:styleId="Peu">
    <w:name w:val="footer"/>
    <w:basedOn w:val="Normal"/>
    <w:link w:val="PeuCar"/>
    <w:uiPriority w:val="99"/>
    <w:unhideWhenUsed w:val="1"/>
    <w:rsid w:val="00603033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603033"/>
    <w:rPr>
      <w:rFonts w:ascii="Arial" w:cs="Arial" w:eastAsia="Arial" w:hAnsi="Arial"/>
    </w:rPr>
  </w:style>
  <w:style w:type="table" w:styleId="Taulaambquadrcula">
    <w:name w:val="Table Grid"/>
    <w:basedOn w:val="Taulanormal"/>
    <w:uiPriority w:val="59"/>
    <w:rsid w:val="009F07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r3xfYDC2nTqzkcAA0XNVWl5TuQ==">CgMxLjAyCGguZ2pkZ3hzMgloLjMwajB6bGwyCWguMWZvYjl0ZTIJaC4zem55c2g3MghoLmdqZGd4czgAciExVlVyWkVGSU1uTE9WU3ZNMUVtTFNmWlVBeDVrYkJ0eXE=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2023-06-09T09:54:00Z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