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44" w:rsidRDefault="0052034F" w:rsidP="00827744">
      <w:pPr>
        <w:jc w:val="center"/>
        <w:rPr>
          <w:rFonts w:ascii="Arial" w:hAnsi="Arial" w:cs="Arial"/>
          <w:b/>
        </w:rPr>
      </w:pPr>
    </w:p>
    <w:p w:rsidR="00827744" w:rsidRPr="001A6261" w:rsidRDefault="004D7905" w:rsidP="00827744">
      <w:pPr>
        <w:jc w:val="both"/>
        <w:rPr>
          <w:rFonts w:ascii="Arial" w:hAnsi="Arial" w:cs="Arial"/>
        </w:rPr>
      </w:pPr>
      <w:r w:rsidRPr="001A6261">
        <w:rPr>
          <w:rFonts w:ascii="Arial" w:hAnsi="Arial" w:cs="Arial"/>
          <w:b/>
          <w:bCs/>
          <w:lang w:val="en-GB"/>
        </w:rPr>
        <w:t>Resolution 409/2019</w:t>
      </w:r>
      <w:r w:rsidRPr="001A6261">
        <w:rPr>
          <w:rFonts w:ascii="Arial" w:hAnsi="Arial" w:cs="Arial"/>
          <w:lang w:val="en-GB"/>
        </w:rPr>
        <w:t>, of 7 March, which contextualises the profile f</w:t>
      </w:r>
      <w:r w:rsidR="00BC38DD">
        <w:rPr>
          <w:rFonts w:ascii="Arial" w:hAnsi="Arial" w:cs="Arial"/>
          <w:lang w:val="en-GB"/>
        </w:rPr>
        <w:t xml:space="preserve">or the </w:t>
      </w:r>
      <w:proofErr w:type="spellStart"/>
      <w:r w:rsidR="0052034F">
        <w:rPr>
          <w:rFonts w:ascii="Arial" w:hAnsi="Arial" w:cs="Arial"/>
          <w:lang w:val="en-GB"/>
        </w:rPr>
        <w:t>Ternure-elegible</w:t>
      </w:r>
      <w:proofErr w:type="spellEnd"/>
      <w:r w:rsidR="0052034F">
        <w:rPr>
          <w:rFonts w:ascii="Arial" w:hAnsi="Arial" w:cs="Arial"/>
          <w:lang w:val="en-GB"/>
        </w:rPr>
        <w:t xml:space="preserve"> </w:t>
      </w:r>
      <w:bookmarkStart w:id="0" w:name="_GoBack"/>
      <w:bookmarkEnd w:id="0"/>
      <w:r w:rsidR="0052034F">
        <w:rPr>
          <w:rFonts w:ascii="Arial" w:hAnsi="Arial" w:cs="Arial"/>
          <w:lang w:val="en-GB"/>
        </w:rPr>
        <w:t>lecturer</w:t>
      </w:r>
      <w:r w:rsidR="00BC38DD">
        <w:rPr>
          <w:rFonts w:ascii="Arial" w:hAnsi="Arial" w:cs="Arial"/>
          <w:lang w:val="en-GB"/>
        </w:rPr>
        <w:t xml:space="preserve"> post</w:t>
      </w:r>
      <w:r w:rsidR="00F90656">
        <w:rPr>
          <w:rFonts w:ascii="Arial" w:hAnsi="Arial" w:cs="Arial"/>
          <w:lang w:val="en-GB"/>
        </w:rPr>
        <w:t xml:space="preserve"> with code UPC-LE-610</w:t>
      </w:r>
      <w:r w:rsidRPr="001A6261">
        <w:rPr>
          <w:rFonts w:ascii="Arial" w:hAnsi="Arial" w:cs="Arial"/>
          <w:lang w:val="en-GB"/>
        </w:rPr>
        <w:t xml:space="preserve"> announced in Resolution 242/2019, of 7 February, and published in the </w:t>
      </w:r>
      <w:r w:rsidRPr="00BC38DD">
        <w:rPr>
          <w:rFonts w:ascii="Arial" w:hAnsi="Arial" w:cs="Arial"/>
          <w:i/>
          <w:lang w:val="en-GB"/>
        </w:rPr>
        <w:t>Official Gazette of the Catalan Government</w:t>
      </w:r>
      <w:r w:rsidRPr="001A6261">
        <w:rPr>
          <w:rFonts w:ascii="Arial" w:hAnsi="Arial" w:cs="Arial"/>
          <w:lang w:val="en-GB"/>
        </w:rPr>
        <w:t xml:space="preserve"> no. 7816, of 22 </w:t>
      </w:r>
      <w:r w:rsidR="00F90656">
        <w:rPr>
          <w:rFonts w:ascii="Arial" w:hAnsi="Arial" w:cs="Arial"/>
          <w:lang w:val="en-GB"/>
        </w:rPr>
        <w:t>February 2019</w:t>
      </w:r>
    </w:p>
    <w:p w:rsidR="00827744" w:rsidRPr="001A6261" w:rsidRDefault="0052034F">
      <w:pPr>
        <w:rPr>
          <w:rFonts w:ascii="Arial" w:hAnsi="Arial" w:cs="Arial"/>
        </w:rPr>
      </w:pPr>
    </w:p>
    <w:p w:rsidR="003B610E" w:rsidRPr="001A6261" w:rsidRDefault="004D7905">
      <w:pPr>
        <w:rPr>
          <w:rFonts w:ascii="Arial" w:hAnsi="Arial" w:cs="Arial"/>
          <w:b/>
        </w:rPr>
      </w:pPr>
      <w:r w:rsidRPr="001A6261">
        <w:rPr>
          <w:rFonts w:ascii="Arial" w:hAnsi="Arial" w:cs="Arial"/>
          <w:b/>
          <w:bCs/>
          <w:lang w:val="en-GB"/>
        </w:rPr>
        <w:t>Considering:</w:t>
      </w:r>
    </w:p>
    <w:p w:rsidR="003B610E" w:rsidRPr="001A6261" w:rsidRDefault="0052034F">
      <w:pPr>
        <w:rPr>
          <w:rFonts w:ascii="Arial" w:hAnsi="Arial" w:cs="Arial"/>
        </w:rPr>
      </w:pPr>
    </w:p>
    <w:p w:rsidR="00A4419F" w:rsidRPr="001A6261" w:rsidRDefault="00BC38DD" w:rsidP="00827744">
      <w:pPr>
        <w:jc w:val="both"/>
        <w:rPr>
          <w:rFonts w:ascii="Arial" w:hAnsi="Arial" w:cs="Arial"/>
        </w:rPr>
      </w:pPr>
      <w:r>
        <w:rPr>
          <w:rFonts w:ascii="Arial" w:hAnsi="Arial" w:cs="Arial"/>
          <w:lang w:val="en-GB"/>
        </w:rPr>
        <w:t xml:space="preserve">That, in </w:t>
      </w:r>
      <w:r w:rsidR="004D7905" w:rsidRPr="001A6261">
        <w:rPr>
          <w:rFonts w:ascii="Arial" w:hAnsi="Arial" w:cs="Arial"/>
          <w:lang w:val="en-GB"/>
        </w:rPr>
        <w:t xml:space="preserve">Resolution 242/2019, of 7 February, which announced the selection processes for the recruitment of teaching and research staff in the framework of the Serra </w:t>
      </w:r>
      <w:proofErr w:type="spellStart"/>
      <w:r w:rsidR="004D7905" w:rsidRPr="001A6261">
        <w:rPr>
          <w:rFonts w:ascii="Arial" w:hAnsi="Arial" w:cs="Arial"/>
          <w:lang w:val="en-GB"/>
        </w:rPr>
        <w:t>Húnter</w:t>
      </w:r>
      <w:proofErr w:type="spellEnd"/>
      <w:r w:rsidR="004D7905" w:rsidRPr="001A6261">
        <w:rPr>
          <w:rFonts w:ascii="Arial" w:hAnsi="Arial" w:cs="Arial"/>
          <w:lang w:val="en-GB"/>
        </w:rPr>
        <w:t xml:space="preserve"> Programme</w:t>
      </w:r>
      <w:r>
        <w:rPr>
          <w:rFonts w:ascii="Arial" w:hAnsi="Arial" w:cs="Arial"/>
          <w:lang w:val="en-GB"/>
        </w:rPr>
        <w:t xml:space="preserve">, the </w:t>
      </w:r>
      <w:r w:rsidR="004D7905" w:rsidRPr="001A6261">
        <w:rPr>
          <w:rFonts w:ascii="Arial" w:hAnsi="Arial" w:cs="Arial"/>
          <w:lang w:val="en-GB"/>
        </w:rPr>
        <w:t xml:space="preserve">profile defined for the post with code UPC-LE-610, attached to the Department of Nautical Science and Engineering, is Naval Architecture. </w:t>
      </w:r>
    </w:p>
    <w:p w:rsidR="00E561A6" w:rsidRPr="001A6261" w:rsidRDefault="0052034F" w:rsidP="00827744">
      <w:pPr>
        <w:jc w:val="both"/>
        <w:rPr>
          <w:rFonts w:ascii="Arial" w:hAnsi="Arial" w:cs="Arial"/>
        </w:rPr>
      </w:pPr>
    </w:p>
    <w:p w:rsidR="00E561A6" w:rsidRPr="001A6261" w:rsidRDefault="004D7905" w:rsidP="00827744">
      <w:pPr>
        <w:jc w:val="both"/>
        <w:rPr>
          <w:rFonts w:ascii="Arial" w:hAnsi="Arial" w:cs="Arial"/>
        </w:rPr>
      </w:pPr>
      <w:r>
        <w:rPr>
          <w:rFonts w:ascii="Arial" w:hAnsi="Arial" w:cs="Arial"/>
          <w:lang w:val="en-GB"/>
        </w:rPr>
        <w:t>That, i</w:t>
      </w:r>
      <w:r w:rsidRPr="001A6261">
        <w:rPr>
          <w:rFonts w:ascii="Arial" w:hAnsi="Arial" w:cs="Arial"/>
          <w:lang w:val="en-GB"/>
        </w:rPr>
        <w:t xml:space="preserve">n the </w:t>
      </w:r>
      <w:r>
        <w:rPr>
          <w:rFonts w:ascii="Arial" w:hAnsi="Arial" w:cs="Arial"/>
          <w:lang w:val="en-GB"/>
        </w:rPr>
        <w:t xml:space="preserve">published </w:t>
      </w:r>
      <w:r w:rsidRPr="001A6261">
        <w:rPr>
          <w:rFonts w:ascii="Arial" w:hAnsi="Arial" w:cs="Arial"/>
          <w:lang w:val="en-GB"/>
        </w:rPr>
        <w:t>English version of the aforementioned resolutio</w:t>
      </w:r>
      <w:r>
        <w:rPr>
          <w:rFonts w:ascii="Arial" w:hAnsi="Arial" w:cs="Arial"/>
          <w:lang w:val="en-GB"/>
        </w:rPr>
        <w:t xml:space="preserve">n, the profile </w:t>
      </w:r>
      <w:r w:rsidR="00F90656">
        <w:rPr>
          <w:rFonts w:ascii="Arial" w:hAnsi="Arial" w:cs="Arial"/>
          <w:lang w:val="en-GB"/>
        </w:rPr>
        <w:t>was</w:t>
      </w:r>
      <w:r>
        <w:rPr>
          <w:rFonts w:ascii="Arial" w:hAnsi="Arial" w:cs="Arial"/>
          <w:lang w:val="en-GB"/>
        </w:rPr>
        <w:t xml:space="preserve"> translated as </w:t>
      </w:r>
      <w:r w:rsidRPr="001A6261">
        <w:rPr>
          <w:rFonts w:ascii="Arial" w:hAnsi="Arial" w:cs="Arial"/>
          <w:lang w:val="en-GB"/>
        </w:rPr>
        <w:t xml:space="preserve">Marine Engineering, a term that was not contextualised in view of the Department of Nautical Science and Engineering to which the post in question is attached and that may lead to misunderstandings regarding the profile required. </w:t>
      </w:r>
    </w:p>
    <w:p w:rsidR="00E561A6" w:rsidRPr="001A6261" w:rsidRDefault="0052034F" w:rsidP="00827744">
      <w:pPr>
        <w:jc w:val="both"/>
        <w:rPr>
          <w:rFonts w:ascii="Arial" w:hAnsi="Arial" w:cs="Arial"/>
        </w:rPr>
      </w:pPr>
    </w:p>
    <w:p w:rsidR="003B610E" w:rsidRPr="001A6261" w:rsidRDefault="004D7905" w:rsidP="00827744">
      <w:pPr>
        <w:jc w:val="both"/>
        <w:rPr>
          <w:rFonts w:ascii="Arial" w:hAnsi="Arial" w:cs="Arial"/>
        </w:rPr>
      </w:pPr>
      <w:r w:rsidRPr="001A6261">
        <w:rPr>
          <w:rFonts w:ascii="Arial" w:hAnsi="Arial" w:cs="Arial"/>
          <w:lang w:val="en-GB"/>
        </w:rPr>
        <w:t>That, although legal practice dictates that in the case of a discrepancy in the translation the language in which the ruling was issued prevails, to clarify any misunderstandings</w:t>
      </w:r>
      <w:r w:rsidRPr="004D7905">
        <w:rPr>
          <w:rFonts w:ascii="Arial" w:hAnsi="Arial" w:cs="Arial"/>
          <w:lang w:val="en-GB"/>
        </w:rPr>
        <w:t xml:space="preserve"> I </w:t>
      </w:r>
      <w:r>
        <w:rPr>
          <w:rFonts w:ascii="Arial" w:hAnsi="Arial" w:cs="Arial"/>
          <w:lang w:val="en-GB"/>
        </w:rPr>
        <w:t xml:space="preserve">believe it is appropriate </w:t>
      </w:r>
      <w:r w:rsidRPr="001A6261">
        <w:rPr>
          <w:rFonts w:ascii="Arial" w:hAnsi="Arial" w:cs="Arial"/>
          <w:lang w:val="en-GB"/>
        </w:rPr>
        <w:t xml:space="preserve">to contextualise the translation. </w:t>
      </w:r>
    </w:p>
    <w:p w:rsidR="00EF0520" w:rsidRPr="001A6261" w:rsidRDefault="0052034F" w:rsidP="00827744">
      <w:pPr>
        <w:jc w:val="both"/>
        <w:rPr>
          <w:rFonts w:ascii="Arial" w:hAnsi="Arial" w:cs="Arial"/>
        </w:rPr>
      </w:pPr>
    </w:p>
    <w:p w:rsidR="00EF0520" w:rsidRPr="001A6261" w:rsidRDefault="004D7905" w:rsidP="00827744">
      <w:pPr>
        <w:jc w:val="both"/>
        <w:rPr>
          <w:rFonts w:ascii="Arial" w:hAnsi="Arial" w:cs="Arial"/>
        </w:rPr>
      </w:pPr>
      <w:r w:rsidRPr="001A6261">
        <w:rPr>
          <w:rFonts w:ascii="Arial" w:hAnsi="Arial" w:cs="Arial"/>
          <w:lang w:val="en-GB"/>
        </w:rPr>
        <w:t>From the above, and by the powers granted to me in the UPC Statutes,</w:t>
      </w:r>
    </w:p>
    <w:p w:rsidR="00E561A6" w:rsidRPr="001A6261" w:rsidRDefault="004D7905" w:rsidP="00827744">
      <w:pPr>
        <w:jc w:val="both"/>
        <w:rPr>
          <w:rFonts w:ascii="Arial" w:hAnsi="Arial" w:cs="Arial"/>
        </w:rPr>
      </w:pPr>
      <w:r w:rsidRPr="001A6261">
        <w:rPr>
          <w:rFonts w:ascii="Arial" w:hAnsi="Arial" w:cs="Arial"/>
          <w:lang w:val="en-GB"/>
        </w:rPr>
        <w:t xml:space="preserve"> </w:t>
      </w:r>
    </w:p>
    <w:p w:rsidR="00E561A6" w:rsidRPr="001A6261" w:rsidRDefault="00BC38DD" w:rsidP="00827744">
      <w:pPr>
        <w:jc w:val="both"/>
        <w:rPr>
          <w:rFonts w:ascii="Arial" w:hAnsi="Arial" w:cs="Arial"/>
          <w:b/>
        </w:rPr>
      </w:pPr>
      <w:r>
        <w:rPr>
          <w:rFonts w:ascii="Arial" w:hAnsi="Arial" w:cs="Arial"/>
          <w:b/>
          <w:bCs/>
          <w:lang w:val="en-GB"/>
        </w:rPr>
        <w:t>I HEREBY RESOLVE:</w:t>
      </w:r>
    </w:p>
    <w:p w:rsidR="00E561A6" w:rsidRPr="001A6261" w:rsidRDefault="0052034F" w:rsidP="00827744">
      <w:pPr>
        <w:jc w:val="both"/>
        <w:rPr>
          <w:rFonts w:ascii="Arial" w:hAnsi="Arial" w:cs="Arial"/>
        </w:rPr>
      </w:pPr>
    </w:p>
    <w:p w:rsidR="00E561A6" w:rsidRDefault="004D7905" w:rsidP="00827744">
      <w:pPr>
        <w:jc w:val="both"/>
        <w:rPr>
          <w:rFonts w:ascii="Arial" w:hAnsi="Arial" w:cs="Arial"/>
          <w:lang w:val="en-GB"/>
        </w:rPr>
      </w:pPr>
      <w:r w:rsidRPr="001A6261">
        <w:rPr>
          <w:rFonts w:ascii="Arial" w:hAnsi="Arial" w:cs="Arial"/>
          <w:b/>
          <w:bCs/>
          <w:lang w:val="en-GB"/>
        </w:rPr>
        <w:t xml:space="preserve">One. </w:t>
      </w:r>
      <w:r w:rsidRPr="001A6261">
        <w:rPr>
          <w:rFonts w:ascii="Arial" w:hAnsi="Arial" w:cs="Arial"/>
          <w:lang w:val="en-GB"/>
        </w:rPr>
        <w:t xml:space="preserve">To provide a context for the post </w:t>
      </w:r>
      <w:r w:rsidR="00F90656" w:rsidRPr="001A6261">
        <w:rPr>
          <w:rFonts w:ascii="Arial" w:hAnsi="Arial" w:cs="Arial"/>
          <w:lang w:val="en-GB"/>
        </w:rPr>
        <w:t>with code UPC</w:t>
      </w:r>
      <w:r w:rsidR="00F90656">
        <w:rPr>
          <w:rFonts w:ascii="Arial" w:hAnsi="Arial" w:cs="Arial"/>
          <w:lang w:val="en-GB"/>
        </w:rPr>
        <w:t xml:space="preserve">-LE-610 </w:t>
      </w:r>
      <w:r w:rsidRPr="001A6261">
        <w:rPr>
          <w:rFonts w:ascii="Arial" w:hAnsi="Arial" w:cs="Arial"/>
          <w:lang w:val="en-GB"/>
        </w:rPr>
        <w:t>announced in Res</w:t>
      </w:r>
      <w:r w:rsidR="00F90656">
        <w:rPr>
          <w:rFonts w:ascii="Arial" w:hAnsi="Arial" w:cs="Arial"/>
          <w:lang w:val="en-GB"/>
        </w:rPr>
        <w:t>olution 242/2019, of 7 February, in the following terms.</w:t>
      </w:r>
      <w:r w:rsidRPr="001A6261">
        <w:rPr>
          <w:rFonts w:ascii="Arial" w:hAnsi="Arial" w:cs="Arial"/>
          <w:lang w:val="en-GB"/>
        </w:rPr>
        <w:t xml:space="preserve"> </w:t>
      </w:r>
    </w:p>
    <w:p w:rsidR="00E561A6" w:rsidRPr="001A6261" w:rsidRDefault="004D7905" w:rsidP="00827744">
      <w:pPr>
        <w:jc w:val="both"/>
        <w:rPr>
          <w:rFonts w:ascii="Arial" w:hAnsi="Arial" w:cs="Arial"/>
        </w:rPr>
      </w:pPr>
      <w:r w:rsidRPr="001A6261">
        <w:rPr>
          <w:rFonts w:ascii="Arial" w:hAnsi="Arial" w:cs="Arial"/>
          <w:lang w:val="en-GB"/>
        </w:rPr>
        <w:t xml:space="preserve">Profile: Naval Architecture, within the teaching and research areas of the Department of Nautical Science and Engineering. </w:t>
      </w:r>
    </w:p>
    <w:p w:rsidR="00EF0520" w:rsidRPr="001A6261" w:rsidRDefault="0052034F" w:rsidP="00827744">
      <w:pPr>
        <w:jc w:val="both"/>
        <w:rPr>
          <w:rFonts w:ascii="Arial" w:hAnsi="Arial" w:cs="Arial"/>
        </w:rPr>
      </w:pPr>
    </w:p>
    <w:p w:rsidR="003B610E" w:rsidRPr="001A6261" w:rsidRDefault="004D7905" w:rsidP="00827744">
      <w:pPr>
        <w:jc w:val="both"/>
        <w:rPr>
          <w:rFonts w:ascii="Arial" w:hAnsi="Arial" w:cs="Arial"/>
        </w:rPr>
      </w:pPr>
      <w:r w:rsidRPr="001A6261">
        <w:rPr>
          <w:rFonts w:ascii="Arial" w:hAnsi="Arial" w:cs="Arial"/>
          <w:b/>
          <w:bCs/>
          <w:lang w:val="en-GB"/>
        </w:rPr>
        <w:t xml:space="preserve">Two. </w:t>
      </w:r>
      <w:r w:rsidRPr="001A6261">
        <w:rPr>
          <w:rFonts w:ascii="Arial" w:hAnsi="Arial" w:cs="Arial"/>
          <w:lang w:val="en-GB"/>
        </w:rPr>
        <w:t>To publish this resolution and its translation into English by the same means used to publish and advertise Resolution 242/2019.</w:t>
      </w:r>
    </w:p>
    <w:p w:rsidR="003B610E" w:rsidRPr="001A6261" w:rsidRDefault="0052034F" w:rsidP="00827744">
      <w:pPr>
        <w:jc w:val="both"/>
        <w:rPr>
          <w:rFonts w:ascii="Arial" w:hAnsi="Arial" w:cs="Arial"/>
        </w:rPr>
      </w:pPr>
    </w:p>
    <w:p w:rsidR="00827744" w:rsidRPr="001A6261" w:rsidRDefault="004D7905" w:rsidP="00827744">
      <w:pPr>
        <w:jc w:val="both"/>
        <w:rPr>
          <w:rFonts w:ascii="Arial" w:hAnsi="Arial" w:cs="Arial"/>
        </w:rPr>
      </w:pPr>
      <w:r w:rsidRPr="001A6261">
        <w:rPr>
          <w:rFonts w:ascii="Arial" w:hAnsi="Arial" w:cs="Arial"/>
          <w:lang w:val="en-GB"/>
        </w:rPr>
        <w:t>Appeals against this resolution, which exhausts the right of appeal through administrative channels, may be filed with the ordinary courts of Barcelona within two months from the day after the notification of this resolution, in accordance with the provisions of Article 8 of Law 29/1998, of 13 July, which regulates the ordinary courts, without prejudice to the right to optionally file an appeal for reversal before appealing to the ordinary courts with the rector of the UPC, within one month from the day after this notification is received or, if appropriate, from the day after its publication, in accordance with articles 123 and 124 of Law 39/2015, of 1 October, on the Common Administrative Procedures of the Public Administrations.</w:t>
      </w:r>
    </w:p>
    <w:p w:rsidR="00827744" w:rsidRPr="001A6261" w:rsidRDefault="004D7905" w:rsidP="00827744">
      <w:pPr>
        <w:jc w:val="both"/>
        <w:rPr>
          <w:rFonts w:ascii="Arial" w:hAnsi="Arial" w:cs="Arial"/>
        </w:rPr>
      </w:pPr>
      <w:r w:rsidRPr="001A6261">
        <w:rPr>
          <w:rFonts w:ascii="Arial" w:hAnsi="Arial" w:cs="Arial"/>
          <w:lang w:val="en-GB"/>
        </w:rPr>
        <w:t xml:space="preserve"> </w:t>
      </w:r>
    </w:p>
    <w:p w:rsidR="00827744" w:rsidRPr="001A6261" w:rsidRDefault="004D7905" w:rsidP="00827744">
      <w:pPr>
        <w:pStyle w:val="Textindependent"/>
        <w:rPr>
          <w:rFonts w:ascii="Arial" w:hAnsi="Arial" w:cs="Arial"/>
          <w:sz w:val="22"/>
          <w:szCs w:val="22"/>
        </w:rPr>
      </w:pPr>
      <w:r w:rsidRPr="001A6261">
        <w:rPr>
          <w:rFonts w:ascii="Arial" w:hAnsi="Arial" w:cs="Arial"/>
          <w:sz w:val="22"/>
          <w:szCs w:val="22"/>
          <w:lang w:val="en-GB"/>
        </w:rPr>
        <w:t>The rector</w:t>
      </w:r>
    </w:p>
    <w:p w:rsidR="00827744" w:rsidRPr="001A6261" w:rsidRDefault="0052034F" w:rsidP="00827744">
      <w:pPr>
        <w:pStyle w:val="Textindependent"/>
        <w:rPr>
          <w:rFonts w:ascii="Arial" w:hAnsi="Arial" w:cs="Arial"/>
          <w:sz w:val="22"/>
          <w:szCs w:val="22"/>
          <w:highlight w:val="yellow"/>
        </w:rPr>
      </w:pPr>
    </w:p>
    <w:p w:rsidR="00827744" w:rsidRPr="001A6261" w:rsidRDefault="004D7905" w:rsidP="00827744">
      <w:pPr>
        <w:pStyle w:val="Textindependent"/>
        <w:rPr>
          <w:rFonts w:ascii="Arial" w:hAnsi="Arial" w:cs="Arial"/>
          <w:sz w:val="22"/>
          <w:szCs w:val="22"/>
        </w:rPr>
      </w:pPr>
      <w:r w:rsidRPr="001A6261">
        <w:rPr>
          <w:rFonts w:ascii="Arial" w:hAnsi="Arial" w:cs="Arial"/>
          <w:sz w:val="22"/>
          <w:szCs w:val="22"/>
          <w:lang w:val="en-GB"/>
        </w:rPr>
        <w:t>Prof. Francesc Torres</w:t>
      </w:r>
    </w:p>
    <w:p w:rsidR="00827744" w:rsidRPr="001A6261" w:rsidRDefault="0052034F" w:rsidP="00827744">
      <w:pPr>
        <w:rPr>
          <w:rFonts w:ascii="Arial" w:hAnsi="Arial" w:cs="Arial"/>
        </w:rPr>
      </w:pPr>
    </w:p>
    <w:p w:rsidR="003B610E" w:rsidRDefault="004D7905">
      <w:r w:rsidRPr="001A6261">
        <w:rPr>
          <w:rFonts w:ascii="Arial" w:hAnsi="Arial" w:cs="Arial"/>
          <w:lang w:val="en-GB"/>
        </w:rPr>
        <w:t xml:space="preserve">Barcelona, 7 March 2019 </w:t>
      </w:r>
    </w:p>
    <w:sectPr w:rsidR="003B610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81" w:rsidRDefault="004D7905">
      <w:r>
        <w:separator/>
      </w:r>
    </w:p>
  </w:endnote>
  <w:endnote w:type="continuationSeparator" w:id="0">
    <w:p w:rsidR="009B7181" w:rsidRDefault="004D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81" w:rsidRDefault="004D7905">
      <w:r>
        <w:separator/>
      </w:r>
    </w:p>
  </w:footnote>
  <w:footnote w:type="continuationSeparator" w:id="0">
    <w:p w:rsidR="009B7181" w:rsidRDefault="004D7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44" w:rsidRDefault="004D7905" w:rsidP="00827744">
    <w:pPr>
      <w:pStyle w:val="Capalera"/>
      <w:ind w:left="-993"/>
    </w:pPr>
    <w:r w:rsidRPr="00EA0DCF">
      <w:rPr>
        <w:noProof/>
        <w:lang w:val="es-ES" w:eastAsia="es-ES"/>
      </w:rPr>
      <w:drawing>
        <wp:inline distT="0" distB="0" distL="0" distR="0">
          <wp:extent cx="2104390" cy="462915"/>
          <wp:effectExtent l="19050" t="0" r="0" b="0"/>
          <wp:docPr id="2" name="Imatge 0" descr="0-upc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0-upc_bn.jpg"/>
                  <pic:cNvPicPr>
                    <a:picLocks noChangeAspect="1" noChangeArrowheads="1"/>
                  </pic:cNvPicPr>
                </pic:nvPicPr>
                <pic:blipFill>
                  <a:blip r:embed="rId1"/>
                  <a:stretch>
                    <a:fillRect/>
                  </a:stretch>
                </pic:blipFill>
                <pic:spPr bwMode="auto">
                  <a:xfrm>
                    <a:off x="0" y="0"/>
                    <a:ext cx="2104390" cy="4629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3A18"/>
    <w:multiLevelType w:val="hybridMultilevel"/>
    <w:tmpl w:val="C3CE57F0"/>
    <w:lvl w:ilvl="0" w:tplc="E402B3E0">
      <w:start w:val="1"/>
      <w:numFmt w:val="decimal"/>
      <w:lvlText w:val="%1."/>
      <w:lvlJc w:val="left"/>
      <w:pPr>
        <w:ind w:left="720" w:hanging="360"/>
      </w:pPr>
      <w:rPr>
        <w:rFonts w:hint="default"/>
      </w:rPr>
    </w:lvl>
    <w:lvl w:ilvl="1" w:tplc="304E9470" w:tentative="1">
      <w:start w:val="1"/>
      <w:numFmt w:val="lowerLetter"/>
      <w:lvlText w:val="%2."/>
      <w:lvlJc w:val="left"/>
      <w:pPr>
        <w:ind w:left="1440" w:hanging="360"/>
      </w:pPr>
    </w:lvl>
    <w:lvl w:ilvl="2" w:tplc="00868C02" w:tentative="1">
      <w:start w:val="1"/>
      <w:numFmt w:val="lowerRoman"/>
      <w:lvlText w:val="%3."/>
      <w:lvlJc w:val="right"/>
      <w:pPr>
        <w:ind w:left="2160" w:hanging="180"/>
      </w:pPr>
    </w:lvl>
    <w:lvl w:ilvl="3" w:tplc="8B5CD6D4" w:tentative="1">
      <w:start w:val="1"/>
      <w:numFmt w:val="decimal"/>
      <w:lvlText w:val="%4."/>
      <w:lvlJc w:val="left"/>
      <w:pPr>
        <w:ind w:left="2880" w:hanging="360"/>
      </w:pPr>
    </w:lvl>
    <w:lvl w:ilvl="4" w:tplc="2CE6DFFC" w:tentative="1">
      <w:start w:val="1"/>
      <w:numFmt w:val="lowerLetter"/>
      <w:lvlText w:val="%5."/>
      <w:lvlJc w:val="left"/>
      <w:pPr>
        <w:ind w:left="3600" w:hanging="360"/>
      </w:pPr>
    </w:lvl>
    <w:lvl w:ilvl="5" w:tplc="40F440A6" w:tentative="1">
      <w:start w:val="1"/>
      <w:numFmt w:val="lowerRoman"/>
      <w:lvlText w:val="%6."/>
      <w:lvlJc w:val="right"/>
      <w:pPr>
        <w:ind w:left="4320" w:hanging="180"/>
      </w:pPr>
    </w:lvl>
    <w:lvl w:ilvl="6" w:tplc="94669AAE" w:tentative="1">
      <w:start w:val="1"/>
      <w:numFmt w:val="decimal"/>
      <w:lvlText w:val="%7."/>
      <w:lvlJc w:val="left"/>
      <w:pPr>
        <w:ind w:left="5040" w:hanging="360"/>
      </w:pPr>
    </w:lvl>
    <w:lvl w:ilvl="7" w:tplc="AE14DB06" w:tentative="1">
      <w:start w:val="1"/>
      <w:numFmt w:val="lowerLetter"/>
      <w:lvlText w:val="%8."/>
      <w:lvlJc w:val="left"/>
      <w:pPr>
        <w:ind w:left="5760" w:hanging="360"/>
      </w:pPr>
    </w:lvl>
    <w:lvl w:ilvl="8" w:tplc="26666D3C" w:tentative="1">
      <w:start w:val="1"/>
      <w:numFmt w:val="lowerRoman"/>
      <w:lvlText w:val="%9."/>
      <w:lvlJc w:val="right"/>
      <w:pPr>
        <w:ind w:left="6480" w:hanging="180"/>
      </w:pPr>
    </w:lvl>
  </w:abstractNum>
  <w:abstractNum w:abstractNumId="1">
    <w:nsid w:val="76852D34"/>
    <w:multiLevelType w:val="hybridMultilevel"/>
    <w:tmpl w:val="E45C30A0"/>
    <w:lvl w:ilvl="0" w:tplc="0CF8EC74">
      <w:start w:val="1"/>
      <w:numFmt w:val="decimal"/>
      <w:lvlText w:val="%1."/>
      <w:lvlJc w:val="left"/>
      <w:pPr>
        <w:ind w:left="720" w:hanging="360"/>
      </w:pPr>
    </w:lvl>
    <w:lvl w:ilvl="1" w:tplc="DECCE308">
      <w:start w:val="1"/>
      <w:numFmt w:val="lowerLetter"/>
      <w:lvlText w:val="%2."/>
      <w:lvlJc w:val="left"/>
      <w:pPr>
        <w:ind w:left="1440" w:hanging="360"/>
      </w:pPr>
    </w:lvl>
    <w:lvl w:ilvl="2" w:tplc="597C726C" w:tentative="1">
      <w:start w:val="1"/>
      <w:numFmt w:val="lowerRoman"/>
      <w:lvlText w:val="%3."/>
      <w:lvlJc w:val="right"/>
      <w:pPr>
        <w:ind w:left="2160" w:hanging="180"/>
      </w:pPr>
    </w:lvl>
    <w:lvl w:ilvl="3" w:tplc="09BA9B50" w:tentative="1">
      <w:start w:val="1"/>
      <w:numFmt w:val="decimal"/>
      <w:lvlText w:val="%4."/>
      <w:lvlJc w:val="left"/>
      <w:pPr>
        <w:ind w:left="2880" w:hanging="360"/>
      </w:pPr>
    </w:lvl>
    <w:lvl w:ilvl="4" w:tplc="B7747558" w:tentative="1">
      <w:start w:val="1"/>
      <w:numFmt w:val="lowerLetter"/>
      <w:lvlText w:val="%5."/>
      <w:lvlJc w:val="left"/>
      <w:pPr>
        <w:ind w:left="3600" w:hanging="360"/>
      </w:pPr>
    </w:lvl>
    <w:lvl w:ilvl="5" w:tplc="21E81B24" w:tentative="1">
      <w:start w:val="1"/>
      <w:numFmt w:val="lowerRoman"/>
      <w:lvlText w:val="%6."/>
      <w:lvlJc w:val="right"/>
      <w:pPr>
        <w:ind w:left="4320" w:hanging="180"/>
      </w:pPr>
    </w:lvl>
    <w:lvl w:ilvl="6" w:tplc="8DAC9066" w:tentative="1">
      <w:start w:val="1"/>
      <w:numFmt w:val="decimal"/>
      <w:lvlText w:val="%7."/>
      <w:lvlJc w:val="left"/>
      <w:pPr>
        <w:ind w:left="5040" w:hanging="360"/>
      </w:pPr>
    </w:lvl>
    <w:lvl w:ilvl="7" w:tplc="2EEA22A2" w:tentative="1">
      <w:start w:val="1"/>
      <w:numFmt w:val="lowerLetter"/>
      <w:lvlText w:val="%8."/>
      <w:lvlJc w:val="left"/>
      <w:pPr>
        <w:ind w:left="5760" w:hanging="360"/>
      </w:pPr>
    </w:lvl>
    <w:lvl w:ilvl="8" w:tplc="19A08AD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6E5"/>
    <w:rsid w:val="003046E5"/>
    <w:rsid w:val="004D7905"/>
    <w:rsid w:val="0052034F"/>
    <w:rsid w:val="00720C87"/>
    <w:rsid w:val="0095597F"/>
    <w:rsid w:val="009B7181"/>
    <w:rsid w:val="00BC38DD"/>
    <w:rsid w:val="00F90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3B610E"/>
    <w:pPr>
      <w:ind w:left="720"/>
      <w:contextualSpacing/>
    </w:pPr>
  </w:style>
  <w:style w:type="paragraph" w:styleId="Textindependent">
    <w:name w:val="Body Text"/>
    <w:basedOn w:val="Normal"/>
    <w:link w:val="TextindependentCar"/>
    <w:uiPriority w:val="99"/>
    <w:rsid w:val="00827744"/>
    <w:pPr>
      <w:jc w:val="both"/>
    </w:pPr>
    <w:rPr>
      <w:rFonts w:ascii="Times New Roman" w:eastAsia="Times New Roman" w:hAnsi="Times New Roman" w:cs="Times New Roman"/>
      <w:sz w:val="24"/>
      <w:szCs w:val="24"/>
      <w:lang w:eastAsia="es-ES"/>
    </w:rPr>
  </w:style>
  <w:style w:type="character" w:customStyle="1" w:styleId="TextindependentCar">
    <w:name w:val="Text independent Car"/>
    <w:basedOn w:val="Tipusdelletraperdefectedelpargraf"/>
    <w:link w:val="Textindependent"/>
    <w:uiPriority w:val="99"/>
    <w:rsid w:val="00827744"/>
    <w:rPr>
      <w:rFonts w:ascii="Times New Roman" w:eastAsia="Times New Roman" w:hAnsi="Times New Roman" w:cs="Times New Roman"/>
      <w:sz w:val="24"/>
      <w:szCs w:val="24"/>
      <w:lang w:val="ca-ES" w:eastAsia="es-ES"/>
    </w:rPr>
  </w:style>
  <w:style w:type="paragraph" w:styleId="Capalera">
    <w:name w:val="header"/>
    <w:basedOn w:val="Normal"/>
    <w:link w:val="CapaleraCar"/>
    <w:uiPriority w:val="99"/>
    <w:unhideWhenUsed/>
    <w:rsid w:val="00827744"/>
    <w:pPr>
      <w:tabs>
        <w:tab w:val="center" w:pos="4252"/>
        <w:tab w:val="right" w:pos="8504"/>
      </w:tabs>
    </w:pPr>
  </w:style>
  <w:style w:type="character" w:customStyle="1" w:styleId="CapaleraCar">
    <w:name w:val="Capçalera Car"/>
    <w:basedOn w:val="Tipusdelletraperdefectedelpargraf"/>
    <w:link w:val="Capalera"/>
    <w:uiPriority w:val="99"/>
    <w:rsid w:val="00827744"/>
  </w:style>
  <w:style w:type="paragraph" w:styleId="Peu">
    <w:name w:val="footer"/>
    <w:basedOn w:val="Normal"/>
    <w:link w:val="PeuCar"/>
    <w:uiPriority w:val="99"/>
    <w:unhideWhenUsed/>
    <w:rsid w:val="00827744"/>
    <w:pPr>
      <w:tabs>
        <w:tab w:val="center" w:pos="4252"/>
        <w:tab w:val="right" w:pos="8504"/>
      </w:tabs>
    </w:pPr>
  </w:style>
  <w:style w:type="character" w:customStyle="1" w:styleId="PeuCar">
    <w:name w:val="Peu Car"/>
    <w:basedOn w:val="Tipusdelletraperdefectedelpargraf"/>
    <w:link w:val="Peu"/>
    <w:uiPriority w:val="99"/>
    <w:rsid w:val="00827744"/>
  </w:style>
  <w:style w:type="paragraph" w:styleId="Textdeglobus">
    <w:name w:val="Balloon Text"/>
    <w:basedOn w:val="Normal"/>
    <w:link w:val="TextdeglobusCar"/>
    <w:uiPriority w:val="99"/>
    <w:semiHidden/>
    <w:unhideWhenUsed/>
    <w:rsid w:val="00827744"/>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27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3B610E"/>
    <w:pPr>
      <w:ind w:left="720"/>
      <w:contextualSpacing/>
    </w:pPr>
  </w:style>
  <w:style w:type="paragraph" w:styleId="Textindependent">
    <w:name w:val="Body Text"/>
    <w:basedOn w:val="Normal"/>
    <w:link w:val="TextindependentCar"/>
    <w:uiPriority w:val="99"/>
    <w:rsid w:val="00827744"/>
    <w:pPr>
      <w:jc w:val="both"/>
    </w:pPr>
    <w:rPr>
      <w:rFonts w:ascii="Times New Roman" w:eastAsia="Times New Roman" w:hAnsi="Times New Roman" w:cs="Times New Roman"/>
      <w:sz w:val="24"/>
      <w:szCs w:val="24"/>
      <w:lang w:eastAsia="es-ES"/>
    </w:rPr>
  </w:style>
  <w:style w:type="character" w:customStyle="1" w:styleId="TextindependentCar">
    <w:name w:val="Text independent Car"/>
    <w:basedOn w:val="Tipusdelletraperdefectedelpargraf"/>
    <w:link w:val="Textindependent"/>
    <w:uiPriority w:val="99"/>
    <w:rsid w:val="00827744"/>
    <w:rPr>
      <w:rFonts w:ascii="Times New Roman" w:eastAsia="Times New Roman" w:hAnsi="Times New Roman" w:cs="Times New Roman"/>
      <w:sz w:val="24"/>
      <w:szCs w:val="24"/>
      <w:lang w:val="ca-ES" w:eastAsia="es-ES"/>
    </w:rPr>
  </w:style>
  <w:style w:type="paragraph" w:styleId="Capalera">
    <w:name w:val="header"/>
    <w:basedOn w:val="Normal"/>
    <w:link w:val="CapaleraCar"/>
    <w:uiPriority w:val="99"/>
    <w:unhideWhenUsed/>
    <w:rsid w:val="00827744"/>
    <w:pPr>
      <w:tabs>
        <w:tab w:val="center" w:pos="4252"/>
        <w:tab w:val="right" w:pos="8504"/>
      </w:tabs>
    </w:pPr>
  </w:style>
  <w:style w:type="character" w:customStyle="1" w:styleId="CapaleraCar">
    <w:name w:val="Capçalera Car"/>
    <w:basedOn w:val="Tipusdelletraperdefectedelpargraf"/>
    <w:link w:val="Capalera"/>
    <w:uiPriority w:val="99"/>
    <w:rsid w:val="00827744"/>
  </w:style>
  <w:style w:type="paragraph" w:styleId="Peu">
    <w:name w:val="footer"/>
    <w:basedOn w:val="Normal"/>
    <w:link w:val="PeuCar"/>
    <w:uiPriority w:val="99"/>
    <w:unhideWhenUsed/>
    <w:rsid w:val="00827744"/>
    <w:pPr>
      <w:tabs>
        <w:tab w:val="center" w:pos="4252"/>
        <w:tab w:val="right" w:pos="8504"/>
      </w:tabs>
    </w:pPr>
  </w:style>
  <w:style w:type="character" w:customStyle="1" w:styleId="PeuCar">
    <w:name w:val="Peu Car"/>
    <w:basedOn w:val="Tipusdelletraperdefectedelpargraf"/>
    <w:link w:val="Peu"/>
    <w:uiPriority w:val="99"/>
    <w:rsid w:val="00827744"/>
  </w:style>
  <w:style w:type="paragraph" w:styleId="Textdeglobus">
    <w:name w:val="Balloon Text"/>
    <w:basedOn w:val="Normal"/>
    <w:link w:val="TextdeglobusCar"/>
    <w:uiPriority w:val="99"/>
    <w:semiHidden/>
    <w:unhideWhenUsed/>
    <w:rsid w:val="00827744"/>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27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2098</Characters>
  <Application>Microsoft Office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c:creator>
  <cp:lastModifiedBy>UPC</cp:lastModifiedBy>
  <cp:revision>2</cp:revision>
  <cp:lastPrinted>2019-03-07T13:25:00Z</cp:lastPrinted>
  <dcterms:created xsi:type="dcterms:W3CDTF">2019-05-08T09:22:00Z</dcterms:created>
  <dcterms:modified xsi:type="dcterms:W3CDTF">2019-05-08T09:22:00Z</dcterms:modified>
</cp:coreProperties>
</file>