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8D" w:rsidRPr="00C61681" w:rsidRDefault="00251E8D" w:rsidP="00CB22D0">
      <w:pPr>
        <w:shd w:val="clear" w:color="auto" w:fill="D9D9D9" w:themeFill="background1" w:themeFillShade="D9"/>
        <w:rPr>
          <w:rFonts w:ascii="Arial" w:hAnsi="Arial" w:cs="Arial"/>
          <w:b/>
          <w:noProof w:val="0"/>
          <w:sz w:val="16"/>
          <w:szCs w:val="16"/>
          <w:lang w:val="es-ES"/>
        </w:rPr>
      </w:pPr>
      <w:r w:rsidRPr="00C61681">
        <w:rPr>
          <w:rFonts w:ascii="Arial" w:hAnsi="Arial" w:cs="Arial"/>
          <w:b/>
          <w:noProof w:val="0"/>
          <w:sz w:val="16"/>
          <w:szCs w:val="16"/>
          <w:lang w:val="es-ES"/>
        </w:rPr>
        <w:t>CRITERIS DE VALORACIÓ / ASSESSMENT CRITERIA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6046"/>
        <w:gridCol w:w="1129"/>
        <w:gridCol w:w="21"/>
      </w:tblGrid>
      <w:tr w:rsidR="00BE37F1" w:rsidRPr="008961B2" w:rsidTr="0092695D">
        <w:trPr>
          <w:gridAfter w:val="1"/>
          <w:wAfter w:w="21" w:type="dxa"/>
        </w:trPr>
        <w:tc>
          <w:tcPr>
            <w:tcW w:w="7196" w:type="dxa"/>
            <w:gridSpan w:val="2"/>
            <w:tcBorders>
              <w:top w:val="nil"/>
            </w:tcBorders>
          </w:tcPr>
          <w:p w:rsidR="00BE37F1" w:rsidRPr="006712F2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CRITERIS PRIMERA 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  <w:r w:rsidRPr="00C325EE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CRITERIA FIRST TEST</w:t>
            </w:r>
          </w:p>
        </w:tc>
        <w:tc>
          <w:tcPr>
            <w:tcW w:w="1129" w:type="dxa"/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 xml:space="preserve">ponderacions / </w:t>
            </w:r>
          </w:p>
          <w:p w:rsidR="00BE37F1" w:rsidRPr="008961B2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>Weighting</w:t>
            </w:r>
          </w:p>
        </w:tc>
      </w:tr>
      <w:tr w:rsidR="00BE37F1" w:rsidRPr="00C61681" w:rsidTr="0092695D">
        <w:trPr>
          <w:gridAfter w:val="1"/>
          <w:wAfter w:w="21" w:type="dxa"/>
        </w:trPr>
        <w:tc>
          <w:tcPr>
            <w:tcW w:w="7196" w:type="dxa"/>
            <w:gridSpan w:val="2"/>
            <w:shd w:val="clear" w:color="auto" w:fill="D9D9D9" w:themeFill="background1" w:themeFillShade="D9"/>
          </w:tcPr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  <w:t xml:space="preserve">Mèrit preferent desvinculació acadèmica /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Preferred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for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academic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disassociation</w:t>
            </w:r>
            <w:proofErr w:type="spellEnd"/>
          </w:p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E37F1" w:rsidRPr="00C61681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45%</w:t>
            </w:r>
          </w:p>
        </w:tc>
      </w:tr>
      <w:tr w:rsidR="00BE37F1" w:rsidRPr="0088697D" w:rsidTr="0092695D">
        <w:trPr>
          <w:gridAfter w:val="1"/>
          <w:wAfter w:w="21" w:type="dxa"/>
        </w:trPr>
        <w:tc>
          <w:tcPr>
            <w:tcW w:w="7196" w:type="dxa"/>
            <w:gridSpan w:val="2"/>
          </w:tcPr>
          <w:p w:rsidR="00BE37F1" w:rsidRPr="00A61DA5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</w:pPr>
            <w:hyperlink r:id="rId7" w:history="1">
              <w:r w:rsidRPr="00A61DA5">
                <w:rPr>
                  <w:rStyle w:val="Hipervnculo"/>
                  <w:rFonts w:ascii="Arial" w:hAnsi="Arial" w:cs="Arial"/>
                  <w:noProof w:val="0"/>
                  <w:sz w:val="14"/>
                  <w:szCs w:val="14"/>
                  <w:lang w:val="ca-ES"/>
                </w:rPr>
                <w:t>D’acord amb la normativa reguladora de l’acreditació de la desvinculació acadèmica</w:t>
              </w:r>
            </w:hyperlink>
            <w:r w:rsidRPr="00A61DA5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r w:rsidRPr="00A61DA5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 xml:space="preserve">/ </w:t>
            </w:r>
            <w:hyperlink r:id="rId8" w:history="1">
              <w:r w:rsidRPr="00A61DA5">
                <w:rPr>
                  <w:rStyle w:val="Hipervnculo"/>
                  <w:rFonts w:ascii="Arial" w:hAnsi="Arial" w:cs="Arial"/>
                  <w:sz w:val="14"/>
                  <w:szCs w:val="14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129" w:type="dxa"/>
            <w:vAlign w:val="center"/>
          </w:tcPr>
          <w:p w:rsidR="00BE37F1" w:rsidRPr="00A61DA5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C61681" w:rsidTr="0092695D">
        <w:tc>
          <w:tcPr>
            <w:tcW w:w="7196" w:type="dxa"/>
            <w:gridSpan w:val="2"/>
            <w:shd w:val="clear" w:color="auto" w:fill="D9D9D9" w:themeFill="background1" w:themeFillShade="D9"/>
          </w:tcPr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investigadors / 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Research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</w:p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BE37F1" w:rsidRPr="00C61681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75%</w:t>
            </w: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64644E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research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result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piece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original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knowledge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considered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relevant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scientific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community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Research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Results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are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typically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reported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scientific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journals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presented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scientific</w:t>
            </w:r>
            <w:proofErr w:type="spellEnd"/>
          </w:p>
          <w:p w:rsidR="00BE37F1" w:rsidRPr="0064644E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conferences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but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it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can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also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be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made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public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means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such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as a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patent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 xml:space="preserve"> software</w:t>
            </w:r>
          </w:p>
          <w:p w:rsidR="00BE37F1" w:rsidRDefault="00BE37F1" w:rsidP="0092695D">
            <w:pPr>
              <w:pStyle w:val="NormalWeb"/>
              <w:spacing w:before="0" w:beforeAutospacing="0" w:after="0" w:afterAutospacing="0"/>
            </w:pPr>
            <w:proofErr w:type="spellStart"/>
            <w:r w:rsidRPr="0064644E">
              <w:rPr>
                <w:rFonts w:ascii="Arial" w:hAnsi="Arial" w:cs="Arial"/>
                <w:color w:val="000000"/>
                <w:sz w:val="16"/>
                <w:szCs w:val="16"/>
              </w:rPr>
              <w:t>component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E37F1" w:rsidRPr="008961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A. </w:t>
            </w:r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Resultats de Recerca</w:t>
            </w: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research results</w:t>
            </w:r>
          </w:p>
        </w:tc>
        <w:tc>
          <w:tcPr>
            <w:tcW w:w="1150" w:type="dxa"/>
            <w:gridSpan w:val="2"/>
            <w:vAlign w:val="center"/>
          </w:tcPr>
          <w:p w:rsidR="00BE37F1" w:rsidRPr="008961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45%</w:t>
            </w: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committee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value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candidates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whose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research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record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has a Good balance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between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quantity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</w:t>
            </w: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quality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.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Quantity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amount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original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knowledge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be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measured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number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publications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proofErr w:type="gram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patents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,...</w:t>
            </w:r>
            <w:proofErr w:type="gram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Such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number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be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adjusted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taking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into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account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type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publication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i.e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journal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article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conference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article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book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proofErr w:type="gram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chapter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,...</w:t>
            </w:r>
            <w:proofErr w:type="gram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),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number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authors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knowledge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granularity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each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publication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.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Quality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impact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research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There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are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several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items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that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can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be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used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to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assess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research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impact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committee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take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into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account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: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  -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reputation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journals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conferences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where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candidate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has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published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his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/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her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results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number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citations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.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  -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For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patents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software,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amount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use and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its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significance</w:t>
            </w:r>
            <w:proofErr w:type="spellEnd"/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  -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Conferences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seminars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given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by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invitation</w:t>
            </w:r>
            <w:proofErr w:type="spellEnd"/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s-ES" w:eastAsia="es-ES"/>
              </w:rPr>
            </w:pPr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  -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Research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awards</w:t>
            </w:r>
            <w:proofErr w:type="spellEnd"/>
          </w:p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E37F1" w:rsidRPr="008961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886BB2" w:rsidTr="0092695D">
        <w:trPr>
          <w:gridAfter w:val="3"/>
          <w:wAfter w:w="7196" w:type="dxa"/>
        </w:trPr>
        <w:tc>
          <w:tcPr>
            <w:tcW w:w="1150" w:type="dxa"/>
            <w:vAlign w:val="center"/>
          </w:tcPr>
          <w:p w:rsidR="00BE37F1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CA3873" w:rsidRPr="008961B2" w:rsidRDefault="00CA3873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lastRenderedPageBreak/>
              <w:t xml:space="preserve">B. </w:t>
            </w:r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Altres </w:t>
            </w:r>
            <w:proofErr w:type="spellStart"/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Merits</w:t>
            </w:r>
            <w:proofErr w:type="spellEnd"/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de Recerca</w:t>
            </w: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. / </w:t>
            </w:r>
            <w:r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Research results</w:t>
            </w:r>
          </w:p>
        </w:tc>
        <w:tc>
          <w:tcPr>
            <w:tcW w:w="1150" w:type="dxa"/>
            <w:gridSpan w:val="2"/>
            <w:vAlign w:val="center"/>
          </w:tcPr>
          <w:p w:rsidR="00BE37F1" w:rsidRPr="008961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30%</w:t>
            </w: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committee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will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also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candidate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potential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lead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long-term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research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committee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will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take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into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account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following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merits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Participation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Research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projects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taking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into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account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project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role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played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participant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Technology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collaborations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companies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taking</w:t>
            </w:r>
            <w:proofErr w:type="spellEnd"/>
            <w:proofErr w:type="gram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into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account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D862F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collaboration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role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played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participant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PhDs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advised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Research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coherence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systematic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participation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advance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a particular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topic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research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field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Diversity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co-authors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taking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into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account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prestige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their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institutions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Participation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scientific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associations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their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dissemination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research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merits</w:t>
            </w:r>
            <w:proofErr w:type="spellEnd"/>
          </w:p>
          <w:p w:rsidR="00BE37F1" w:rsidRPr="00D862F9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E37F1" w:rsidRPr="008961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  <w:p w:rsidR="00CA3873" w:rsidRPr="00886BB2" w:rsidRDefault="00CA3873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E37F1" w:rsidRPr="008961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886BB2" w:rsidRDefault="00BE37F1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E37F1" w:rsidRPr="008961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C61681" w:rsidTr="0092695D">
        <w:tc>
          <w:tcPr>
            <w:tcW w:w="7196" w:type="dxa"/>
            <w:gridSpan w:val="2"/>
            <w:shd w:val="clear" w:color="auto" w:fill="D9D9D9" w:themeFill="background1" w:themeFillShade="D9"/>
          </w:tcPr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docents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Teaching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ab/>
            </w:r>
          </w:p>
          <w:p w:rsidR="00BE37F1" w:rsidRPr="00C6168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BE37F1" w:rsidRPr="00C61681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  <w:t>25%</w:t>
            </w: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 </w:t>
            </w:r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Experiència Docent</w:t>
            </w: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. / </w:t>
            </w:r>
            <w:r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Teaching Experience</w:t>
            </w:r>
          </w:p>
        </w:tc>
        <w:tc>
          <w:tcPr>
            <w:tcW w:w="1150" w:type="dxa"/>
            <w:gridSpan w:val="2"/>
            <w:vAlign w:val="center"/>
          </w:tcPr>
          <w:p w:rsidR="00BE37F1" w:rsidRPr="00886B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  <w:t>20%</w:t>
            </w: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committee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specially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value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candidates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whose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teaching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record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has a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good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balance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between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quantity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diversity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</w:t>
            </w: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quality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Only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teaching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related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to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Computer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Science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and Artificial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Intelligence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be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considered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.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  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quantity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amount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teaching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)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be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measured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number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teaching</w:t>
            </w:r>
            <w:proofErr w:type="spellEnd"/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years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Such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number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be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adjusted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taking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into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account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teaching</w:t>
            </w:r>
            <w:proofErr w:type="spellEnd"/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intensity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i.e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teaching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hours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),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level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undergraduate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proofErr w:type="gram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graduate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,...</w:t>
            </w:r>
            <w:proofErr w:type="gram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).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diversity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be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measured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number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different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courses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.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  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quality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teaching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will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be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measured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taking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into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account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development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of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pedagogical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material (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e.g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books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videos, </w:t>
            </w:r>
            <w:proofErr w:type="gram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software,...</w:t>
            </w:r>
            <w:proofErr w:type="gram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),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evaluations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made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by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institutions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where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the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teaching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took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place,</w:t>
            </w:r>
          </w:p>
          <w:p w:rsidR="00BE37F1" w:rsidRPr="00D862F9" w:rsidRDefault="00BE37F1" w:rsidP="0092695D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s-ES" w:eastAsia="es-ES"/>
              </w:rPr>
            </w:pP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participation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in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pedagogical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innovation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projects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proofErr w:type="gramStart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conferences</w:t>
            </w:r>
            <w:proofErr w:type="spellEnd"/>
            <w:r w:rsidRPr="00D862F9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s-ES" w:eastAsia="es-ES"/>
              </w:rPr>
              <w:t>,...</w:t>
            </w:r>
            <w:proofErr w:type="gramEnd"/>
          </w:p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E37F1" w:rsidRPr="00886B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D. Altres mèrits Docents/ </w:t>
            </w:r>
            <w:proofErr w:type="spellStart"/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Other</w:t>
            </w:r>
            <w:proofErr w:type="spellEnd"/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teaching</w:t>
            </w:r>
            <w:proofErr w:type="spellEnd"/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merits</w:t>
            </w:r>
            <w:proofErr w:type="spellEnd"/>
          </w:p>
        </w:tc>
        <w:tc>
          <w:tcPr>
            <w:tcW w:w="1150" w:type="dxa"/>
            <w:gridSpan w:val="2"/>
            <w:vAlign w:val="center"/>
          </w:tcPr>
          <w:p w:rsidR="00BE37F1" w:rsidRPr="00886B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  <w:t>5%</w:t>
            </w:r>
          </w:p>
        </w:tc>
      </w:tr>
      <w:tr w:rsidR="00BE37F1" w:rsidRPr="00886BB2" w:rsidTr="0092695D">
        <w:tc>
          <w:tcPr>
            <w:tcW w:w="7196" w:type="dxa"/>
            <w:gridSpan w:val="2"/>
          </w:tcPr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committee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will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candidates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: </w:t>
            </w:r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 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Bachelor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projects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Master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Thesis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advising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 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Teaching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awards</w:t>
            </w:r>
            <w:proofErr w:type="spellEnd"/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 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Participation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academic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committees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E37F1" w:rsidRPr="00D862F9" w:rsidRDefault="00BE37F1" w:rsidP="009269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-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2F9">
              <w:rPr>
                <w:rFonts w:ascii="Arial" w:hAnsi="Arial" w:cs="Arial"/>
                <w:color w:val="000000"/>
                <w:sz w:val="16"/>
                <w:szCs w:val="16"/>
              </w:rPr>
              <w:t>merits</w:t>
            </w:r>
            <w:proofErr w:type="spellEnd"/>
          </w:p>
          <w:p w:rsidR="00BE37F1" w:rsidRPr="008961B2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E37F1" w:rsidRPr="00886B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:rsidR="00BE37F1" w:rsidRDefault="00BE37F1" w:rsidP="00BE37F1">
      <w:pPr>
        <w:pStyle w:val="Encabezado"/>
        <w:rPr>
          <w:sz w:val="12"/>
          <w:szCs w:val="12"/>
          <w:lang w:val="en-GB"/>
        </w:rPr>
      </w:pPr>
    </w:p>
    <w:p w:rsidR="00CA3873" w:rsidRDefault="00BE37F1" w:rsidP="00CA3873">
      <w:pPr>
        <w:rPr>
          <w:sz w:val="18"/>
          <w:szCs w:val="12"/>
          <w:lang w:val="es-ES"/>
        </w:rPr>
      </w:pPr>
      <w:r w:rsidRPr="00EE3D68">
        <w:rPr>
          <w:rFonts w:ascii="Arial" w:hAnsi="Arial" w:cs="Arial"/>
          <w:sz w:val="18"/>
          <w:szCs w:val="18"/>
          <w:lang w:val="es-ES"/>
        </w:rPr>
        <w:t xml:space="preserve">Puntuación mínima para superar la primera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minimum score to pass the first phase</w:t>
      </w:r>
      <w:r w:rsidRPr="00EE3D68">
        <w:rPr>
          <w:sz w:val="18"/>
          <w:szCs w:val="12"/>
          <w:lang w:val="es-ES"/>
        </w:rPr>
        <w:t>_</w:t>
      </w:r>
      <w:r>
        <w:rPr>
          <w:sz w:val="18"/>
          <w:szCs w:val="12"/>
          <w:lang w:val="es-ES"/>
        </w:rPr>
        <w:t>80 sobre 145</w:t>
      </w:r>
    </w:p>
    <w:p w:rsidR="00CA3873" w:rsidRPr="00CA3873" w:rsidRDefault="00CA3873" w:rsidP="00CA3873">
      <w:pPr>
        <w:rPr>
          <w:sz w:val="16"/>
          <w:szCs w:val="16"/>
          <w:lang w:val="es-ES"/>
        </w:rPr>
      </w:pPr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El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comité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seleccionarà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entre 2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i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4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candidats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amb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la nota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més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alta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a la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primera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fase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</w:t>
      </w:r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per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continuar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a la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segona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</w:t>
      </w:r>
      <w:proofErr w:type="spellStart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>fase</w:t>
      </w:r>
      <w:proofErr w:type="spellEnd"/>
      <w:r w:rsidRPr="00CA3873">
        <w:rPr>
          <w:rFonts w:ascii="Arial" w:hAnsi="Arial" w:cs="Arial"/>
          <w:b/>
          <w:noProof w:val="0"/>
          <w:sz w:val="16"/>
          <w:szCs w:val="16"/>
          <w:lang w:val="en-GB"/>
        </w:rPr>
        <w:t xml:space="preserve"> (short list)</w:t>
      </w:r>
      <w:r>
        <w:rPr>
          <w:rFonts w:ascii="Arial" w:hAnsi="Arial" w:cs="Arial"/>
          <w:b/>
          <w:noProof w:val="0"/>
          <w:sz w:val="16"/>
          <w:szCs w:val="16"/>
          <w:lang w:val="en-GB"/>
        </w:rPr>
        <w:t>/</w:t>
      </w:r>
      <w:r w:rsidRPr="00CA3873">
        <w:rPr>
          <w:rFonts w:ascii="Arial" w:hAnsi="Arial" w:cs="Arial"/>
          <w:b/>
          <w:noProof w:val="0"/>
          <w:color w:val="548DD4" w:themeColor="text2" w:themeTint="99"/>
          <w:sz w:val="16"/>
          <w:szCs w:val="16"/>
          <w:lang w:val="en-GB"/>
        </w:rPr>
        <w:t>The committee will short-list from 2 to 4 candidates with the highest score in the first phase to proceed to the second phase.</w:t>
      </w:r>
    </w:p>
    <w:p w:rsidR="002E5D47" w:rsidRPr="00EE3D68" w:rsidRDefault="002E5D47" w:rsidP="00BE37F1">
      <w:pPr>
        <w:rPr>
          <w:rFonts w:ascii="Arial" w:hAnsi="Arial" w:cs="Arial"/>
          <w:noProof w:val="0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06"/>
      </w:tblGrid>
      <w:tr w:rsidR="00BE37F1" w:rsidRPr="00886BB2" w:rsidTr="0092695D">
        <w:tc>
          <w:tcPr>
            <w:tcW w:w="8306" w:type="dxa"/>
            <w:tcBorders>
              <w:top w:val="nil"/>
              <w:bottom w:val="nil"/>
            </w:tcBorders>
          </w:tcPr>
          <w:p w:rsidR="00BE37F1" w:rsidRPr="00886BB2" w:rsidRDefault="00BE37F1" w:rsidP="0092695D">
            <w:pPr>
              <w:pStyle w:val="Default"/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:rsidR="00BE37F1" w:rsidRDefault="00BE37F1" w:rsidP="00BE37F1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CRITERIS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SEGONA </w:t>
      </w: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>PROVA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/ </w:t>
      </w:r>
      <w:r w:rsidRPr="00C325EE">
        <w:rPr>
          <w:rFonts w:ascii="Arial" w:hAnsi="Arial" w:cs="Arial"/>
          <w:b/>
          <w:noProof w:val="0"/>
          <w:color w:val="0070C0"/>
          <w:sz w:val="18"/>
          <w:szCs w:val="18"/>
          <w:lang w:val="en-GB"/>
        </w:rPr>
        <w:t>CRITERIA SECOND TEST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132"/>
      </w:tblGrid>
      <w:tr w:rsidR="00BE37F1" w:rsidRPr="008961B2" w:rsidTr="0092695D">
        <w:tc>
          <w:tcPr>
            <w:tcW w:w="72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BE37F1" w:rsidRPr="002542C7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  <w:p w:rsidR="00BE37F1" w:rsidRPr="002542C7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CRITERIS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SEGONA </w:t>
            </w: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ponderacions / punts</w:t>
            </w:r>
          </w:p>
          <w:p w:rsidR="00BE37F1" w:rsidRPr="008961B2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 xml:space="preserve">Weighting/points </w:t>
            </w:r>
          </w:p>
        </w:tc>
      </w:tr>
      <w:tr w:rsidR="00BE37F1" w:rsidRPr="00C039AB" w:rsidTr="009269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  <w:bottom w:val="single" w:sz="4" w:space="0" w:color="000000" w:themeColor="text1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BE37F1" w:rsidRPr="00E23C77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  <w:r>
              <w:rPr>
                <w:rFonts w:ascii="Arial" w:hAnsi="Arial" w:cs="Arial"/>
                <w:color w:val="000000"/>
              </w:rPr>
              <w:t>Qualitat I coherència de la trajectòria acadèmica del candidat/ Quality and coherence of the candidate’s research and teaching career</w:t>
            </w: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30%</w:t>
            </w:r>
          </w:p>
        </w:tc>
      </w:tr>
      <w:tr w:rsidR="00BE37F1" w:rsidRPr="00C039AB" w:rsidTr="009269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color w:val="000000"/>
              </w:rPr>
              <w:t>Qualitat de la presentació I del debat/ Quality of the presentation and the debate</w:t>
            </w:r>
          </w:p>
        </w:tc>
        <w:tc>
          <w:tcPr>
            <w:tcW w:w="1132" w:type="dxa"/>
            <w:tcBorders>
              <w:right w:val="nil"/>
            </w:tcBorders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20%</w:t>
            </w:r>
          </w:p>
        </w:tc>
      </w:tr>
      <w:tr w:rsidR="00BE37F1" w:rsidRPr="00C039AB" w:rsidTr="009269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BE37F1" w:rsidRPr="00C039AB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color w:val="000000"/>
              </w:rPr>
              <w:t>Capacitat docent demostrada al seminari/Teaching capacity as demonstrated in the seminar</w:t>
            </w:r>
          </w:p>
        </w:tc>
        <w:tc>
          <w:tcPr>
            <w:tcW w:w="1132" w:type="dxa"/>
            <w:tcBorders>
              <w:right w:val="nil"/>
            </w:tcBorders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50%</w:t>
            </w:r>
          </w:p>
        </w:tc>
      </w:tr>
      <w:tr w:rsidR="00BE37F1" w:rsidRPr="00C039AB" w:rsidTr="009269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C039AB" w:rsidTr="009269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C039AB" w:rsidTr="009269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C039AB" w:rsidTr="009269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BE37F1" w:rsidRPr="00C039AB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BE37F1" w:rsidRPr="008961B2" w:rsidTr="009269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BE37F1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BE37F1" w:rsidRPr="008961B2" w:rsidRDefault="00BE37F1" w:rsidP="0092695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BE37F1" w:rsidRPr="008961B2" w:rsidRDefault="00BE37F1" w:rsidP="00926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:rsidR="00BE37F1" w:rsidRDefault="00BE37F1" w:rsidP="00BE37F1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</w:p>
    <w:p w:rsidR="00BE37F1" w:rsidRPr="00EE3D68" w:rsidRDefault="00BE37F1" w:rsidP="00BE37F1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EE3D68">
        <w:rPr>
          <w:rFonts w:ascii="Arial" w:hAnsi="Arial" w:cs="Arial"/>
          <w:sz w:val="18"/>
          <w:szCs w:val="18"/>
          <w:lang w:val="es-ES"/>
        </w:rPr>
        <w:t xml:space="preserve">Puntuación mínima para superar la segunda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minimum score to pass the </w:t>
      </w:r>
      <w:r>
        <w:rPr>
          <w:rFonts w:ascii="Arial" w:hAnsi="Arial" w:cs="Arial"/>
          <w:color w:val="0070C0"/>
          <w:sz w:val="18"/>
          <w:szCs w:val="18"/>
          <w:lang w:val="ca-ES"/>
        </w:rPr>
        <w:t>second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ca-ES"/>
        </w:rPr>
        <w:t>ph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ase</w:t>
      </w:r>
      <w:r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 w:rsidRPr="00EE3D68">
        <w:rPr>
          <w:sz w:val="18"/>
          <w:szCs w:val="12"/>
          <w:lang w:val="es-ES"/>
        </w:rPr>
        <w:t>_</w:t>
      </w:r>
      <w:r>
        <w:rPr>
          <w:sz w:val="18"/>
          <w:szCs w:val="12"/>
          <w:lang w:val="es-ES"/>
        </w:rPr>
        <w:t>8 sobre 10</w:t>
      </w:r>
    </w:p>
    <w:p w:rsidR="00BE37F1" w:rsidRPr="00EE3D68" w:rsidRDefault="00BE37F1" w:rsidP="00BE37F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bookmarkStart w:id="0" w:name="_GoBack"/>
      <w:bookmarkEnd w:id="0"/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</w:p>
    <w:sectPr w:rsidR="00F41A11" w:rsidRPr="007A6604" w:rsidSect="007A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11" w:rsidRPr="00325CBF" w:rsidRDefault="00A8771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A87711" w:rsidRPr="00325CBF" w:rsidRDefault="00A8771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A2" w:rsidRDefault="008D31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E01177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Pr="007A6604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A2" w:rsidRDefault="008D31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11" w:rsidRPr="00325CBF" w:rsidRDefault="00A8771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A87711" w:rsidRPr="00325CBF" w:rsidRDefault="00A8771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A2" w:rsidRDefault="008D31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8D" w:rsidRDefault="00EE6A6C" w:rsidP="00EE6A6C">
    <w:pPr>
      <w:pStyle w:val="Encabezado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9B098C" w:rsidRDefault="009B098C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E01177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325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2551"/>
      <w:gridCol w:w="3681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6E447A" w:rsidRDefault="004714B0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>
            <w:rPr>
              <w:rStyle w:val="internal-link"/>
            </w:rPr>
            <w:t>08/03/2021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252DB4" w:rsidRDefault="005D57AB" w:rsidP="00C22197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r w:rsidR="008D31A2"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Ciencies de la Computació I Intel.ligència Artifiical</w:t>
          </w:r>
        </w:p>
      </w:tc>
    </w:tr>
  </w:tbl>
  <w:p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50"/>
      <w:gridCol w:w="5875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251E8D" w:rsidRDefault="008D31A2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LE-120020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Encabezado"/>
      <w:rPr>
        <w:lang w:val="es-ES"/>
      </w:rPr>
    </w:pPr>
  </w:p>
  <w:p w:rsidR="00D80B8D" w:rsidRPr="00251E8D" w:rsidRDefault="00D80B8D" w:rsidP="00472607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A2" w:rsidRDefault="008D31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5D47"/>
    <w:rsid w:val="002E6BA1"/>
    <w:rsid w:val="003028B4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D31A2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87711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E37F1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A3873"/>
    <w:rsid w:val="00CB22D0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9E87C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BE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legislacio-de-referencia/CG_2019_07_41Normativareguladoradelacreditacideladesvinculaciacadmica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B612-A560-44E5-BC62-15DF5EC3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Javier Larrosa</cp:lastModifiedBy>
  <cp:revision>38</cp:revision>
  <cp:lastPrinted>2013-06-04T06:42:00Z</cp:lastPrinted>
  <dcterms:created xsi:type="dcterms:W3CDTF">2017-10-19T09:22:00Z</dcterms:created>
  <dcterms:modified xsi:type="dcterms:W3CDTF">2021-06-14T12:08:00Z</dcterms:modified>
</cp:coreProperties>
</file>