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25"/>
      </w:tblGrid>
      <w:tr w:rsidR="00265E07" w:rsidRPr="000C66A1" w:rsidTr="006D5699">
        <w:tc>
          <w:tcPr>
            <w:tcW w:w="8109" w:type="dxa"/>
          </w:tcPr>
          <w:p w:rsidR="005166AC" w:rsidRPr="007A6604" w:rsidRDefault="005166AC" w:rsidP="007A6604">
            <w:pPr>
              <w:pStyle w:val="Ttol1"/>
              <w:outlineLvl w:val="0"/>
              <w:rPr>
                <w:rFonts w:ascii="Arial" w:hAnsi="Arial" w:cs="Arial"/>
                <w:sz w:val="14"/>
                <w:szCs w:val="14"/>
                <w:lang w:val="es-ES"/>
              </w:rPr>
            </w:pPr>
            <w:bookmarkStart w:id="0" w:name="_GoBack"/>
            <w:bookmarkEnd w:id="0"/>
            <w:r w:rsidRPr="007A6604">
              <w:rPr>
                <w:rFonts w:ascii="Arial" w:hAnsi="Arial" w:cs="Arial"/>
                <w:bCs/>
                <w:sz w:val="14"/>
                <w:szCs w:val="14"/>
                <w:lang w:val="es-ES"/>
              </w:rPr>
              <w:t xml:space="preserve">Criteris generals de valoració.- </w:t>
            </w:r>
            <w:r w:rsidRPr="007A6604">
              <w:rPr>
                <w:rFonts w:ascii="Arial" w:hAnsi="Arial" w:cs="Arial"/>
                <w:sz w:val="14"/>
                <w:szCs w:val="14"/>
                <w:lang w:val="es-ES"/>
              </w:rPr>
              <w:t>són els establerts a la base 6.1.2. de la resolució</w:t>
            </w:r>
            <w:r w:rsidR="006E021F" w:rsidRPr="007A6604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="00774BF3">
              <w:rPr>
                <w:rFonts w:ascii="Arial" w:hAnsi="Arial" w:cs="Arial"/>
                <w:sz w:val="14"/>
                <w:szCs w:val="14"/>
                <w:lang w:val="es-ES"/>
              </w:rPr>
              <w:t>865/2019</w:t>
            </w:r>
            <w:r w:rsidRPr="007A660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:rsidR="00265E07" w:rsidRPr="007A6604" w:rsidRDefault="005166AC" w:rsidP="005166AC">
            <w:pPr>
              <w:pStyle w:val="Default"/>
              <w:jc w:val="both"/>
              <w:rPr>
                <w:sz w:val="14"/>
                <w:szCs w:val="14"/>
              </w:rPr>
            </w:pPr>
            <w:r w:rsidRPr="007A6604">
              <w:rPr>
                <w:b/>
                <w:bCs/>
                <w:sz w:val="14"/>
                <w:szCs w:val="14"/>
              </w:rPr>
              <w:t xml:space="preserve">Criteris específics.- </w:t>
            </w:r>
            <w:r w:rsidRPr="007A6604">
              <w:rPr>
                <w:sz w:val="14"/>
                <w:szCs w:val="14"/>
              </w:rPr>
              <w:t xml:space="preserve">En aplicació d’aquests criteris es poden tenir en compte, entre d’altres, els aspectes que es detallen més avall. La valoració dels membres del </w:t>
            </w:r>
            <w:r w:rsidR="004D6B40" w:rsidRPr="007A6604">
              <w:rPr>
                <w:sz w:val="14"/>
                <w:szCs w:val="14"/>
              </w:rPr>
              <w:t>comitè</w:t>
            </w:r>
            <w:r w:rsidRPr="007A6604">
              <w:rPr>
                <w:sz w:val="14"/>
                <w:szCs w:val="14"/>
              </w:rPr>
              <w:t xml:space="preserve"> poden ser quantitatives i de barems prefixats o bé deixar el judici dels mèrits específics de cada persona aspirant el criteri, l’experiència i coneixement del camp d’investigació de cada membre del </w:t>
            </w:r>
            <w:r w:rsidR="004D6B40" w:rsidRPr="007A6604">
              <w:rPr>
                <w:sz w:val="14"/>
                <w:szCs w:val="14"/>
              </w:rPr>
              <w:t>comitè</w:t>
            </w:r>
            <w:r w:rsidRPr="007A6604">
              <w:rPr>
                <w:sz w:val="14"/>
                <w:szCs w:val="14"/>
              </w:rPr>
              <w:t xml:space="preserve"> de </w:t>
            </w:r>
            <w:r w:rsidR="004D6B40" w:rsidRPr="007A6604">
              <w:rPr>
                <w:sz w:val="14"/>
                <w:szCs w:val="14"/>
              </w:rPr>
              <w:t>selecció</w:t>
            </w:r>
            <w:r w:rsidRPr="007A6604">
              <w:rPr>
                <w:sz w:val="14"/>
                <w:szCs w:val="14"/>
              </w:rPr>
              <w:t xml:space="preserve">. </w:t>
            </w:r>
          </w:p>
        </w:tc>
      </w:tr>
      <w:tr w:rsidR="00265E07" w:rsidRPr="007A6604" w:rsidTr="006D5699">
        <w:tc>
          <w:tcPr>
            <w:tcW w:w="8109" w:type="dxa"/>
          </w:tcPr>
          <w:p w:rsidR="005166AC" w:rsidRPr="007A6604" w:rsidRDefault="005166AC" w:rsidP="005166AC">
            <w:pPr>
              <w:pStyle w:val="Default"/>
              <w:jc w:val="both"/>
              <w:rPr>
                <w:color w:val="006EC0"/>
                <w:sz w:val="14"/>
                <w:szCs w:val="14"/>
              </w:rPr>
            </w:pPr>
            <w:r w:rsidRPr="007A6604">
              <w:rPr>
                <w:b/>
                <w:bCs/>
                <w:color w:val="006EC0"/>
                <w:sz w:val="14"/>
                <w:szCs w:val="14"/>
              </w:rPr>
              <w:t xml:space="preserve">General </w:t>
            </w:r>
            <w:proofErr w:type="spellStart"/>
            <w:r w:rsidRPr="007A6604">
              <w:rPr>
                <w:b/>
                <w:bCs/>
                <w:color w:val="006EC0"/>
                <w:sz w:val="14"/>
                <w:szCs w:val="14"/>
              </w:rPr>
              <w:t>criteria</w:t>
            </w:r>
            <w:proofErr w:type="spellEnd"/>
            <w:r w:rsidRPr="007A6604">
              <w:rPr>
                <w:b/>
                <w:bCs/>
                <w:color w:val="006EC0"/>
                <w:sz w:val="14"/>
                <w:szCs w:val="14"/>
              </w:rPr>
              <w:t xml:space="preserve"> .-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Established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in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Condition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6.1.2 of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Resolution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r w:rsidR="00774BF3">
              <w:rPr>
                <w:color w:val="006EC0"/>
                <w:sz w:val="14"/>
                <w:szCs w:val="14"/>
              </w:rPr>
              <w:t>865/2019</w:t>
            </w:r>
            <w:r w:rsidRPr="007A6604">
              <w:rPr>
                <w:color w:val="006EC0"/>
                <w:sz w:val="14"/>
                <w:szCs w:val="14"/>
              </w:rPr>
              <w:t>.</w:t>
            </w:r>
          </w:p>
          <w:p w:rsidR="00265E07" w:rsidRPr="007A6604" w:rsidRDefault="005166AC" w:rsidP="005166AC">
            <w:pPr>
              <w:pStyle w:val="Default"/>
              <w:jc w:val="both"/>
              <w:rPr>
                <w:color w:val="0070C0"/>
                <w:sz w:val="14"/>
                <w:szCs w:val="14"/>
              </w:rPr>
            </w:pPr>
            <w:proofErr w:type="spellStart"/>
            <w:r w:rsidRPr="007A6604">
              <w:rPr>
                <w:b/>
                <w:bCs/>
                <w:color w:val="006EC0"/>
                <w:sz w:val="14"/>
                <w:szCs w:val="14"/>
              </w:rPr>
              <w:t>Specific</w:t>
            </w:r>
            <w:proofErr w:type="spellEnd"/>
            <w:r w:rsidRPr="007A6604">
              <w:rPr>
                <w:b/>
                <w:bCs/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b/>
                <w:bCs/>
                <w:color w:val="006EC0"/>
                <w:sz w:val="14"/>
                <w:szCs w:val="14"/>
              </w:rPr>
              <w:t>assessment</w:t>
            </w:r>
            <w:proofErr w:type="spellEnd"/>
            <w:r w:rsidRPr="007A6604">
              <w:rPr>
                <w:b/>
                <w:bCs/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b/>
                <w:bCs/>
                <w:color w:val="006EC0"/>
                <w:sz w:val="14"/>
                <w:szCs w:val="14"/>
              </w:rPr>
              <w:t>criteria</w:t>
            </w:r>
            <w:proofErr w:type="spellEnd"/>
            <w:r w:rsidRPr="007A6604">
              <w:rPr>
                <w:b/>
                <w:bCs/>
                <w:color w:val="006EC0"/>
                <w:sz w:val="14"/>
                <w:szCs w:val="14"/>
              </w:rPr>
              <w:t xml:space="preserve">.- </w:t>
            </w:r>
            <w:r w:rsidRPr="007A6604">
              <w:rPr>
                <w:color w:val="006EC0"/>
                <w:sz w:val="14"/>
                <w:szCs w:val="14"/>
              </w:rPr>
              <w:t xml:space="preserve">In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line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with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these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criteria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,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the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aspects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to be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considered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are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those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listed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below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.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Committee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members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may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evaluate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candidates’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merits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quantitatively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according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to a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pre-established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scale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or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according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to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their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own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criteria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,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experience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and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knowledge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of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the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research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 xml:space="preserve"> </w:t>
            </w:r>
            <w:proofErr w:type="spellStart"/>
            <w:r w:rsidRPr="007A6604">
              <w:rPr>
                <w:color w:val="006EC0"/>
                <w:sz w:val="14"/>
                <w:szCs w:val="14"/>
              </w:rPr>
              <w:t>field</w:t>
            </w:r>
            <w:proofErr w:type="spellEnd"/>
            <w:r w:rsidRPr="007A6604">
              <w:rPr>
                <w:color w:val="006EC0"/>
                <w:sz w:val="14"/>
                <w:szCs w:val="14"/>
              </w:rPr>
              <w:t>.</w:t>
            </w:r>
          </w:p>
        </w:tc>
      </w:tr>
      <w:tr w:rsidR="00265E07" w:rsidRPr="007373DD" w:rsidTr="006D5699">
        <w:tc>
          <w:tcPr>
            <w:tcW w:w="8109" w:type="dxa"/>
          </w:tcPr>
          <w:p w:rsidR="00265E07" w:rsidRPr="007A6604" w:rsidRDefault="00265E07" w:rsidP="00D80B8D">
            <w:pPr>
              <w:jc w:val="center"/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 xml:space="preserve">ACORDS / </w:t>
            </w:r>
            <w:r w:rsidRPr="007A6604">
              <w:rPr>
                <w:rFonts w:ascii="Arial" w:hAnsi="Arial" w:cs="Arial"/>
                <w:b/>
                <w:noProof w:val="0"/>
                <w:color w:val="0070C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ulaambquadrcula"/>
              <w:tblW w:w="13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3041"/>
            </w:tblGrid>
            <w:tr w:rsidR="00265E07" w:rsidRPr="007373DD" w:rsidTr="00D80B8D">
              <w:tc>
                <w:tcPr>
                  <w:tcW w:w="13041" w:type="dxa"/>
                  <w:shd w:val="clear" w:color="auto" w:fill="D9D9D9" w:themeFill="background1" w:themeFillShade="D9"/>
                </w:tcPr>
                <w:p w:rsidR="006D5699" w:rsidRDefault="006D5699" w:rsidP="006D5699">
                  <w:pPr>
                    <w:rPr>
                      <w:rFonts w:ascii="Arial" w:hAnsi="Arial" w:cs="Arial"/>
                      <w:noProof w:val="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noProof w:val="0"/>
                      <w:sz w:val="16"/>
                      <w:szCs w:val="16"/>
                      <w:lang w:val="en-GB"/>
                    </w:rPr>
                    <w:t>The criteria to be followed by the commission are:</w:t>
                  </w:r>
                </w:p>
                <w:p w:rsidR="000C66A1" w:rsidRPr="00560B66" w:rsidRDefault="000C66A1" w:rsidP="000C66A1">
                  <w:pPr>
                    <w:rPr>
                      <w:rFonts w:ascii="Arial" w:hAnsi="Arial" w:cs="Arial"/>
                      <w:noProof w:val="0"/>
                      <w:sz w:val="16"/>
                      <w:szCs w:val="16"/>
                      <w:lang w:val="en-GB"/>
                    </w:rPr>
                  </w:pPr>
                </w:p>
                <w:p w:rsidR="000C66A1" w:rsidRPr="00C85069" w:rsidRDefault="000C66A1" w:rsidP="000C66A1">
                  <w:pPr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  <w:vertAlign w:val="superscript"/>
                    </w:rPr>
                    <w:t>st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 xml:space="preserve"> stage</w:t>
                  </w:r>
                </w:p>
                <w:p w:rsidR="000C66A1" w:rsidRPr="00C85069" w:rsidRDefault="000C66A1" w:rsidP="000C66A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Past performance (evaluated from the CV)</w:t>
                  </w:r>
                </w:p>
                <w:p w:rsidR="000C66A1" w:rsidRDefault="000C66A1" w:rsidP="006719D9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scientific track record in terms of publications and impact (articles, books, book chapters</w:t>
                  </w:r>
                </w:p>
                <w:p w:rsidR="000C66A1" w:rsidRPr="000C66A1" w:rsidRDefault="000C66A1" w:rsidP="000C66A1">
                  <w:pPr>
                    <w:ind w:left="1440"/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and other scientific publications): </w:t>
                  </w:r>
                  <w:r w:rsidRPr="000C66A1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17.5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teaching experience (courses taught, mentoring of final degree projects):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15 points</w:t>
                  </w:r>
                </w:p>
                <w:p w:rsidR="000C66A1" w:rsidRDefault="000C66A1" w:rsidP="0048163B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Quality of teaching work (innovative projects, teaching publications, teaching related</w:t>
                  </w:r>
                </w:p>
                <w:p w:rsidR="000C66A1" w:rsidRPr="000C66A1" w:rsidRDefault="000C66A1" w:rsidP="000C66A1">
                  <w:pPr>
                    <w:ind w:left="1440"/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articles or conferences): </w:t>
                  </w:r>
                  <w:r w:rsidRPr="000C66A1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5 points</w:t>
                  </w:r>
                </w:p>
                <w:p w:rsidR="000C66A1" w:rsidRDefault="000C66A1" w:rsidP="00CA2E08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scientific leadership: acquisition of project funding, mentoring of PhD students, </w:t>
                  </w:r>
                </w:p>
                <w:p w:rsidR="000C66A1" w:rsidRPr="000C66A1" w:rsidRDefault="000C66A1" w:rsidP="000C66A1">
                  <w:pPr>
                    <w:ind w:left="1440"/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postdocs or other: </w:t>
                  </w:r>
                  <w:r w:rsidRPr="000C66A1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10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service (university, research community, society at large):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2,5 points</w:t>
                  </w:r>
                </w:p>
                <w:p w:rsidR="000C66A1" w:rsidRDefault="000C66A1" w:rsidP="00CA1E8D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international experience and network (</w:t>
                  </w: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  <w:lang w:val="nl-BE"/>
                    </w:rPr>
                    <w:t>stays abroad</w:t>
                  </w: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, lectures given abroad, distinguished</w:t>
                  </w:r>
                </w:p>
                <w:p w:rsidR="000C66A1" w:rsidRPr="000C66A1" w:rsidRDefault="000C66A1" w:rsidP="00CA1E8D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participation in conferences): </w:t>
                  </w:r>
                  <w:r w:rsidRPr="000C66A1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17.5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industrial experience and network (research contracts, patents):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5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other relevant activity (professional experience, awards):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2,5 points</w:t>
                  </w:r>
                </w:p>
                <w:p w:rsidR="000C66A1" w:rsidRDefault="000C66A1" w:rsidP="0043624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Potential (evaluated from CV, activity plan presented by candidates and information about the </w:t>
                  </w:r>
                </w:p>
                <w:p w:rsidR="000C66A1" w:rsidRPr="000C66A1" w:rsidRDefault="000C66A1" w:rsidP="000C66A1">
                  <w:pPr>
                    <w:ind w:left="720"/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0C66A1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hosting department)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vision on research and 5-year research plan: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10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vision on teaching and possible contribution to teaching within the department: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10 points</w:t>
                  </w:r>
                </w:p>
                <w:p w:rsidR="000C66A1" w:rsidRPr="000C66A1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motivation (to take up the position, to take up a position at UPC):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5 points</w:t>
                  </w:r>
                </w:p>
                <w:p w:rsidR="000C66A1" w:rsidRPr="00C85069" w:rsidRDefault="000C66A1" w:rsidP="000C66A1">
                  <w:pPr>
                    <w:ind w:left="1440"/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</w:p>
                <w:p w:rsidR="000C66A1" w:rsidRPr="00C85069" w:rsidRDefault="000C66A1" w:rsidP="000C66A1">
                  <w:pPr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lastRenderedPageBreak/>
                    <w:t>2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  <w:vertAlign w:val="superscript"/>
                    </w:rPr>
                    <w:t>nd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 xml:space="preserve"> stage</w:t>
                  </w:r>
                </w:p>
                <w:p w:rsidR="000C66A1" w:rsidRPr="00C85069" w:rsidRDefault="000C66A1" w:rsidP="000C66A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Validation of 1</w:t>
                  </w: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  <w:vertAlign w:val="superscript"/>
                    </w:rPr>
                    <w:t>st</w:t>
                  </w: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 stage evaluation: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80 points (up to 0.8x1st stage mark)</w:t>
                  </w:r>
                </w:p>
                <w:p w:rsidR="000C66A1" w:rsidRPr="00C85069" w:rsidRDefault="000C66A1" w:rsidP="000C66A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>Skills (evaluated only at the second stage: seminar)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teaching and communication skills: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10 points</w:t>
                  </w:r>
                </w:p>
                <w:p w:rsidR="000C66A1" w:rsidRPr="00C85069" w:rsidRDefault="000C66A1" w:rsidP="000C66A1">
                  <w:pPr>
                    <w:numPr>
                      <w:ilvl w:val="1"/>
                      <w:numId w:val="1"/>
                    </w:numPr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</w:pPr>
                  <w:r w:rsidRPr="00C85069">
                    <w:rPr>
                      <w:rFonts w:ascii="Arial" w:hAnsi="Arial" w:cs="Arial"/>
                      <w:noProof w:val="0"/>
                      <w:sz w:val="16"/>
                      <w:szCs w:val="16"/>
                    </w:rPr>
                    <w:t xml:space="preserve">leadership qualities: </w:t>
                  </w:r>
                  <w:r w:rsidRPr="00C85069"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</w:rPr>
                    <w:t>10 points</w:t>
                  </w:r>
                </w:p>
                <w:p w:rsidR="00265E07" w:rsidRPr="00EC64EE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7A6604" w:rsidRPr="00EC64EE" w:rsidRDefault="007A6604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EC64EE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EC64EE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7A6604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265E07" w:rsidRPr="007373DD" w:rsidRDefault="00265E07" w:rsidP="00D80B8D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en-GB"/>
              </w:rPr>
            </w:pPr>
          </w:p>
        </w:tc>
      </w:tr>
    </w:tbl>
    <w:p w:rsidR="00265E07" w:rsidRDefault="00265E07" w:rsidP="00265E07">
      <w:pPr>
        <w:rPr>
          <w:rFonts w:ascii="Calibri" w:hAnsi="Calibri" w:cs="Calibri"/>
          <w:noProof w:val="0"/>
          <w:lang w:val="ca-ES"/>
        </w:rPr>
      </w:pPr>
    </w:p>
    <w:p w:rsidR="00265E07" w:rsidRPr="00472607" w:rsidRDefault="00265E07" w:rsidP="00265E07">
      <w:pPr>
        <w:rPr>
          <w:noProof w:val="0"/>
        </w:rPr>
      </w:pPr>
    </w:p>
    <w:p w:rsidR="00F41A11" w:rsidRPr="007A6604" w:rsidRDefault="006D5699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Barcelona, December 18</w:t>
      </w:r>
      <w:r w:rsidRPr="006D5699">
        <w:rPr>
          <w:rFonts w:ascii="Arial" w:hAnsi="Arial" w:cs="Arial"/>
          <w:noProof w:val="0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noProof w:val="0"/>
          <w:sz w:val="16"/>
          <w:szCs w:val="16"/>
          <w:lang w:val="en-GB"/>
        </w:rPr>
        <w:t xml:space="preserve"> 2019.</w:t>
      </w:r>
    </w:p>
    <w:sectPr w:rsidR="00F41A11" w:rsidRPr="007A6604" w:rsidSect="007A6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7C" w:rsidRPr="00325CBF" w:rsidRDefault="000B6F7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0B6F7C" w:rsidRPr="00325CBF" w:rsidRDefault="000B6F7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4" w:rsidRDefault="007A6604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4678" w:type="dxa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  <w:r w:rsidRPr="007A6604">
            <w:rPr>
              <w:rFonts w:ascii="Arial" w:hAnsi="Arial" w:cs="Arial"/>
              <w:b/>
              <w:vanish/>
              <w:sz w:val="16"/>
              <w:szCs w:val="16"/>
              <w:lang w:val="en-GB"/>
            </w:rPr>
            <w:t>NOM SIGNATURA</w:t>
          </w:r>
        </w:p>
      </w:tc>
    </w:tr>
    <w:tr w:rsidR="00337207" w:rsidRPr="007A6604" w:rsidTr="007A6604">
      <w:tc>
        <w:tcPr>
          <w:tcW w:w="4678" w:type="dxa"/>
        </w:tcPr>
        <w:p w:rsidR="00337207" w:rsidRPr="007A6604" w:rsidRDefault="00337207" w:rsidP="007A6604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 SIGNATURE</w:t>
          </w:r>
        </w:p>
      </w:tc>
    </w:tr>
  </w:tbl>
  <w:p w:rsidR="00337207" w:rsidRPr="005C3E87" w:rsidRDefault="00337207" w:rsidP="007A6604">
    <w:pPr>
      <w:jc w:val="right"/>
      <w:rPr>
        <w:rFonts w:ascii="Arial" w:hAnsi="Arial" w:cs="Arial"/>
        <w:vanish/>
        <w:sz w:val="24"/>
        <w:szCs w:val="24"/>
        <w:lang w:val="en-GB"/>
      </w:rPr>
    </w:pPr>
  </w:p>
  <w:tbl>
    <w:tblPr>
      <w:tblStyle w:val="Taulaambq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0C66A1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A62B4B" w:rsidRPr="005F0B97" w:rsidRDefault="005F0B97" w:rsidP="005F0B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  <w:r w:rsidRPr="005F0B97">
            <w:rPr>
              <w:rFonts w:ascii="Arial" w:hAnsi="Arial" w:cs="Arial"/>
              <w:noProof w:val="0"/>
              <w:sz w:val="16"/>
              <w:szCs w:val="16"/>
              <w:lang w:val="en-GB"/>
            </w:rPr>
            <w:t xml:space="preserve">Jordi </w:t>
          </w:r>
          <w:proofErr w:type="spellStart"/>
          <w:r w:rsidRPr="005F0B97">
            <w:rPr>
              <w:rFonts w:ascii="Arial" w:hAnsi="Arial" w:cs="Arial"/>
              <w:noProof w:val="0"/>
              <w:sz w:val="16"/>
              <w:szCs w:val="16"/>
              <w:lang w:val="en-GB"/>
            </w:rPr>
            <w:t>Romeu</w:t>
          </w:r>
          <w:proofErr w:type="spellEnd"/>
        </w:p>
        <w:p w:rsidR="00337207" w:rsidRPr="005F0B97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</w:t>
    </w:r>
    <w:proofErr w:type="gramEnd"/>
    <w:r w:rsidR="00337207">
      <w:rPr>
        <w:noProof w:val="0"/>
        <w:lang w:val="es-ES"/>
      </w:rPr>
      <w:t xml:space="preserve"> 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4" w:rsidRDefault="007A660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7C" w:rsidRPr="00325CBF" w:rsidRDefault="000B6F7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0B6F7C" w:rsidRPr="00325CBF" w:rsidRDefault="000B6F7C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4" w:rsidRDefault="007A6604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7A6604" w:rsidRPr="00707764">
      <w:rPr>
        <w:lang w:val="es-ES" w:eastAsia="es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0C66A1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943"/>
      <w:gridCol w:w="1701"/>
      <w:gridCol w:w="3681"/>
    </w:tblGrid>
    <w:tr w:rsidR="006B61FC" w:rsidRPr="007A6604" w:rsidTr="007A6604">
      <w:tc>
        <w:tcPr>
          <w:tcW w:w="2943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sz w:val="16"/>
              <w:szCs w:val="16"/>
              <w:lang w:val="es-ES"/>
            </w:rPr>
            <w:t>Data de publicació Diari Oficial de la Generalitat de Catalunya</w:t>
          </w:r>
        </w:p>
      </w:tc>
      <w:tc>
        <w:tcPr>
          <w:tcW w:w="170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7A6604">
      <w:tc>
        <w:tcPr>
          <w:tcW w:w="2943" w:type="dxa"/>
          <w:tcBorders>
            <w:bottom w:val="single" w:sz="4" w:space="0" w:color="A6A6A6" w:themeColor="background1" w:themeShade="A6"/>
          </w:tcBorders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Date of publication in the Official Gazette of the Generalitat of Catalonia</w:t>
          </w:r>
        </w:p>
      </w:tc>
      <w:tc>
        <w:tcPr>
          <w:tcW w:w="170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E24E15" w:rsidTr="007A6604">
      <w:tc>
        <w:tcPr>
          <w:tcW w:w="294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E24E15" w:rsidRDefault="00E24E15" w:rsidP="005A2E68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</w:p>
        <w:p w:rsidR="00E24E15" w:rsidRDefault="00E24E15" w:rsidP="005A2E68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</w:p>
        <w:p w:rsidR="005A2E68" w:rsidRPr="00E24E15" w:rsidRDefault="005A2E68" w:rsidP="005A2E68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  <w:r w:rsidRPr="00E24E15">
            <w:rPr>
              <w:rFonts w:ascii="Arial" w:hAnsi="Arial" w:cs="Arial"/>
              <w:noProof w:val="0"/>
              <w:sz w:val="12"/>
              <w:szCs w:val="12"/>
              <w:lang w:val="en-GB"/>
            </w:rPr>
            <w:t>July 11, 2019</w:t>
          </w:r>
        </w:p>
        <w:p w:rsidR="00147543" w:rsidRPr="00E24E15" w:rsidRDefault="00147543" w:rsidP="00E24E15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</w:p>
      </w:tc>
      <w:tc>
        <w:tcPr>
          <w:tcW w:w="1701" w:type="dxa"/>
          <w:shd w:val="clear" w:color="auto" w:fill="D9D9D9" w:themeFill="background1" w:themeFillShade="D9"/>
          <w:vAlign w:val="center"/>
        </w:tcPr>
        <w:p w:rsidR="00E24E15" w:rsidRDefault="00E24E15" w:rsidP="00E24E15">
          <w:pPr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</w:p>
        <w:p w:rsidR="00147543" w:rsidRPr="00E24E15" w:rsidRDefault="00E24E15" w:rsidP="00E24E15">
          <w:pPr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  <w:r w:rsidRPr="00E24E15">
            <w:rPr>
              <w:rFonts w:ascii="Arial" w:hAnsi="Arial" w:cs="Arial"/>
              <w:noProof w:val="0"/>
              <w:sz w:val="12"/>
              <w:szCs w:val="12"/>
              <w:lang w:val="en-GB"/>
            </w:rPr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A40819" w:rsidRDefault="00A40819" w:rsidP="00A40819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</w:p>
        <w:p w:rsidR="00147543" w:rsidRPr="00E24E15" w:rsidRDefault="00E24E15" w:rsidP="00E24E15">
          <w:pPr>
            <w:jc w:val="center"/>
            <w:rPr>
              <w:rFonts w:ascii="Arial" w:hAnsi="Arial" w:cs="Arial"/>
              <w:noProof w:val="0"/>
              <w:sz w:val="12"/>
              <w:szCs w:val="12"/>
              <w:lang w:val="en-GB"/>
            </w:rPr>
          </w:pPr>
          <w:r w:rsidRPr="00E24E15">
            <w:rPr>
              <w:rFonts w:ascii="Arial" w:hAnsi="Arial" w:cs="Arial"/>
              <w:noProof w:val="0"/>
              <w:sz w:val="12"/>
              <w:szCs w:val="12"/>
              <w:lang w:val="en-GB"/>
            </w:rPr>
            <w:t>Strength of Materials and Structural Engineering</w:t>
          </w:r>
        </w:p>
      </w:tc>
    </w:tr>
  </w:tbl>
  <w:p w:rsidR="009B098C" w:rsidRPr="00E24E15" w:rsidRDefault="009B098C" w:rsidP="009B098C">
    <w:pPr>
      <w:rPr>
        <w:rFonts w:ascii="Arial" w:hAnsi="Arial" w:cs="Arial"/>
        <w:noProof w:val="0"/>
        <w:sz w:val="12"/>
        <w:szCs w:val="12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73"/>
      <w:gridCol w:w="5852"/>
    </w:tblGrid>
    <w:tr w:rsidR="009B098C" w:rsidRPr="006E447A" w:rsidTr="001363B8">
      <w:tc>
        <w:tcPr>
          <w:tcW w:w="3388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6E447A" w:rsidRDefault="00B85A66" w:rsidP="00BC0267">
          <w:pPr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B22BBF">
            <w:rPr>
              <w:rFonts w:ascii="Arial" w:hAnsi="Arial" w:cs="Arial"/>
              <w:sz w:val="16"/>
              <w:szCs w:val="16"/>
              <w:lang w:val="en-GB"/>
            </w:rPr>
            <w:t>SH- UPC-LE-7100</w:t>
          </w:r>
        </w:p>
      </w:tc>
    </w:tr>
    <w:tr w:rsidR="009B098C" w:rsidRPr="006E447A" w:rsidTr="001363B8">
      <w:tc>
        <w:tcPr>
          <w:tcW w:w="3388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6E447A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9B098C" w:rsidRPr="008E4E13" w:rsidRDefault="009B098C" w:rsidP="00472607">
    <w:pPr>
      <w:pStyle w:val="Capalera"/>
      <w:rPr>
        <w:lang w:val="en-GB"/>
      </w:rPr>
    </w:pPr>
  </w:p>
  <w:p w:rsidR="00D80B8D" w:rsidRPr="008E4E13" w:rsidRDefault="00D80B8D" w:rsidP="00472607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04" w:rsidRDefault="007A660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25A"/>
    <w:multiLevelType w:val="hybridMultilevel"/>
    <w:tmpl w:val="0CAA4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6FCB"/>
    <w:rsid w:val="000B6F7C"/>
    <w:rsid w:val="000C0901"/>
    <w:rsid w:val="000C1509"/>
    <w:rsid w:val="000C1D89"/>
    <w:rsid w:val="000C2754"/>
    <w:rsid w:val="000C66A1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425D4"/>
    <w:rsid w:val="00143310"/>
    <w:rsid w:val="00145272"/>
    <w:rsid w:val="00147543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0C6F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526D"/>
    <w:rsid w:val="002067B5"/>
    <w:rsid w:val="00207E0A"/>
    <w:rsid w:val="00211059"/>
    <w:rsid w:val="00222988"/>
    <w:rsid w:val="002336EA"/>
    <w:rsid w:val="00236486"/>
    <w:rsid w:val="00237A34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2E68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5F0B97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D5699"/>
    <w:rsid w:val="006E021F"/>
    <w:rsid w:val="006E213F"/>
    <w:rsid w:val="006E35AD"/>
    <w:rsid w:val="006E73F0"/>
    <w:rsid w:val="006F7AC2"/>
    <w:rsid w:val="006F7ED4"/>
    <w:rsid w:val="0070692A"/>
    <w:rsid w:val="00721D78"/>
    <w:rsid w:val="007308C7"/>
    <w:rsid w:val="00731908"/>
    <w:rsid w:val="00731994"/>
    <w:rsid w:val="007373D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0819"/>
    <w:rsid w:val="00A45B30"/>
    <w:rsid w:val="00A56D50"/>
    <w:rsid w:val="00A62B4B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85A66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0267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44126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27323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4E15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22BB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5EB1-469D-47C0-926C-E52C3263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2019-12-02T12:02:00Z</dcterms:created>
  <dcterms:modified xsi:type="dcterms:W3CDTF">2019-12-02T12:02:00Z</dcterms:modified>
</cp:coreProperties>
</file>