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5"/>
      </w:tblGrid>
      <w:tr w:rsidR="00C04014" w:rsidRPr="00AC09A0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AC09A0">
              <w:trPr>
                <w:trHeight w:val="1448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8B5F8B">
              <w:trPr>
                <w:trHeight w:val="1470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brief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personal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presentation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followed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candidate’s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choosing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together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lasting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hour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half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most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7E7E99" w:rsidRDefault="007E7E99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:rsidTr="00110F93">
        <w:tc>
          <w:tcPr>
            <w:tcW w:w="8330" w:type="dxa"/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bleGrid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8E4E13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:rsidR="00265E07" w:rsidRPr="00F23EAD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F23EAD" w:rsidRDefault="00904CBD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04CB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The Commission has agreed the following schedule for the second phase presentations.</w:t>
                  </w:r>
                </w:p>
                <w:p w:rsidR="00B6607E" w:rsidRPr="00F23EAD" w:rsidRDefault="00B6607E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8E4E13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7"/>
        <w:gridCol w:w="4248"/>
      </w:tblGrid>
      <w:tr w:rsidR="00265E07" w:rsidRPr="008B5F8B" w:rsidTr="00091CF5">
        <w:tc>
          <w:tcPr>
            <w:tcW w:w="6204" w:type="dxa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5E07" w:rsidRPr="008B5F8B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265E07" w:rsidRPr="008E4E13" w:rsidTr="00091CF5">
        <w:tc>
          <w:tcPr>
            <w:tcW w:w="6204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65E07" w:rsidRPr="00F23EAD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CBD" w:rsidRDefault="00904CBD" w:rsidP="00904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528D">
              <w:rPr>
                <w:rFonts w:ascii="Arial" w:hAnsi="Arial" w:cs="Arial"/>
                <w:sz w:val="20"/>
                <w:szCs w:val="20"/>
              </w:rPr>
              <w:t>CHANDRA, ANIRUDDHA</w:t>
            </w: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528D">
              <w:rPr>
                <w:rFonts w:ascii="Arial" w:hAnsi="Arial" w:cs="Arial"/>
                <w:sz w:val="20"/>
                <w:szCs w:val="20"/>
              </w:rPr>
              <w:t>FONT SEGURA, JOSEP</w:t>
            </w: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528D">
              <w:rPr>
                <w:rFonts w:ascii="Arial" w:hAnsi="Arial" w:cs="Arial"/>
                <w:sz w:val="20"/>
                <w:szCs w:val="20"/>
              </w:rPr>
              <w:t>JOFRE CRUANYES, MARC</w:t>
            </w:r>
          </w:p>
          <w:p w:rsidR="00265E07" w:rsidRPr="00F23EAD" w:rsidRDefault="00904CBD" w:rsidP="00904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28D">
              <w:rPr>
                <w:rFonts w:ascii="Arial" w:hAnsi="Arial" w:cs="Arial"/>
                <w:sz w:val="20"/>
                <w:szCs w:val="20"/>
              </w:rPr>
              <w:t>ROMERO GONZALEZ, DANIEL</w:t>
            </w:r>
          </w:p>
          <w:p w:rsidR="00265E07" w:rsidRPr="00F23EAD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E07" w:rsidRPr="00F23EAD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04CBD" w:rsidRDefault="00904CBD" w:rsidP="00904CBD">
            <w:pPr>
              <w:rPr>
                <w:rFonts w:ascii="Arial" w:hAnsi="Arial" w:cs="Arial"/>
                <w:sz w:val="20"/>
                <w:szCs w:val="20"/>
              </w:rPr>
            </w:pPr>
            <w:r w:rsidRPr="00DA19BB">
              <w:rPr>
                <w:rFonts w:ascii="Arial" w:hAnsi="Arial" w:cs="Arial"/>
                <w:sz w:val="20"/>
                <w:szCs w:val="20"/>
              </w:rPr>
              <w:t>Sala de Juntes D4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A19BB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>, Campus Nord, UPC</w:t>
            </w:r>
          </w:p>
          <w:p w:rsidR="00904CBD" w:rsidRDefault="00904CBD" w:rsidP="00904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20/11/2023  14:00</w:t>
            </w: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20/11/2023  16:30</w:t>
            </w:r>
          </w:p>
          <w:p w:rsidR="00904CBD" w:rsidRDefault="00904CBD" w:rsidP="00904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22/11/2023  14:00</w:t>
            </w:r>
          </w:p>
          <w:p w:rsidR="008B5F8B" w:rsidRPr="00F23EAD" w:rsidRDefault="00904CBD" w:rsidP="00904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22/11/2023  16:30</w:t>
            </w:r>
          </w:p>
          <w:p w:rsidR="00F23EAD" w:rsidRPr="00F23EAD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23EAD" w:rsidRPr="00F23EAD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E07" w:rsidRPr="00A3122E" w:rsidRDefault="00265E07" w:rsidP="00265E07">
      <w:pPr>
        <w:rPr>
          <w:rFonts w:ascii="Arial" w:hAnsi="Arial" w:cs="Arial"/>
          <w:sz w:val="20"/>
          <w:szCs w:val="20"/>
        </w:rPr>
      </w:pPr>
    </w:p>
    <w:p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8B5F8B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904CBD">
        <w:rPr>
          <w:rFonts w:ascii="Arial" w:hAnsi="Arial" w:cs="Arial"/>
          <w:sz w:val="16"/>
          <w:szCs w:val="16"/>
          <w:lang w:val="en-GB"/>
        </w:rPr>
        <w:t>26 d’octubre de 2023</w:t>
      </w:r>
    </w:p>
    <w:sectPr w:rsidR="00F41A11" w:rsidRPr="007373DD" w:rsidSect="00110F93">
      <w:headerReference w:type="default" r:id="rId7"/>
      <w:footerReference w:type="default" r:id="rId8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28" w:rsidRPr="00325CBF" w:rsidRDefault="0006302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063028" w:rsidRPr="00325CBF" w:rsidRDefault="0006302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bleGrid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AC09A0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:rsidTr="00110F93">
      <w:tc>
        <w:tcPr>
          <w:tcW w:w="4678" w:type="dxa"/>
          <w:shd w:val="clear" w:color="auto" w:fill="D9D9D9" w:themeFill="background1" w:themeFillShade="D9"/>
        </w:tcPr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Footer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>comunicación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28" w:rsidRPr="00325CBF" w:rsidRDefault="0006302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063028" w:rsidRPr="00325CBF" w:rsidRDefault="0006302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D" w:rsidRPr="00325CBF" w:rsidRDefault="00D80B8D" w:rsidP="00110F93">
    <w:pPr>
      <w:pStyle w:val="Header"/>
      <w:tabs>
        <w:tab w:val="clear" w:pos="8504"/>
        <w:tab w:val="right" w:pos="8080"/>
      </w:tabs>
      <w:rPr>
        <w:noProof w:val="0"/>
        <w:vanish/>
        <w:lang w:val="en-GB"/>
      </w:rPr>
    </w:pPr>
  </w:p>
  <w:p w:rsidR="00D80B8D" w:rsidRDefault="00D80B8D">
    <w:pPr>
      <w:pStyle w:val="Header"/>
      <w:rPr>
        <w:noProof w:val="0"/>
        <w:lang w:val="en-GB"/>
      </w:rPr>
    </w:pPr>
  </w:p>
  <w:p w:rsidR="00D80B8D" w:rsidRDefault="006F3EDD" w:rsidP="006F3EDD">
    <w:pPr>
      <w:pStyle w:val="Header"/>
      <w:ind w:left="-993"/>
      <w:rPr>
        <w:lang w:val="en-GB"/>
      </w:rPr>
    </w:pPr>
    <w:r>
      <w:rPr>
        <w:lang w:val="en-GB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3AFB0883" wp14:editId="4B826F0B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110F93" w:rsidRPr="00707764">
      <w:rPr>
        <w:lang w:val="es-ES" w:eastAsia="es-ES"/>
      </w:rPr>
      <w:drawing>
        <wp:inline distT="0" distB="0" distL="0" distR="0" wp14:anchorId="65EAD096" wp14:editId="7C50F14A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B6607E" w:rsidRDefault="00B6607E" w:rsidP="00472607">
    <w:pPr>
      <w:pStyle w:val="Header"/>
      <w:rPr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B6607E" w:rsidRPr="00AC09A0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:rsidR="00B6607E" w:rsidRPr="008B5F8B" w:rsidRDefault="00B6607E" w:rsidP="00B6607E">
    <w:pPr>
      <w:pStyle w:val="Header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95"/>
      <w:gridCol w:w="2366"/>
      <w:gridCol w:w="3964"/>
    </w:tblGrid>
    <w:tr w:rsidR="007526B9" w:rsidRPr="008B5F8B" w:rsidTr="007526B9">
      <w:tc>
        <w:tcPr>
          <w:tcW w:w="1995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7526B9" w:rsidRPr="00F23EAD" w:rsidRDefault="00904CBD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904CBD">
            <w:rPr>
              <w:rFonts w:ascii="Arial" w:hAnsi="Arial" w:cs="Arial"/>
              <w:sz w:val="20"/>
              <w:szCs w:val="20"/>
              <w:lang w:val="en-GB"/>
            </w:rPr>
            <w:t>8869 - 7.3.2023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:rsidR="007526B9" w:rsidRPr="00F23EAD" w:rsidRDefault="007526B9" w:rsidP="003E2C94">
          <w:pPr>
            <w:rPr>
              <w:rFonts w:ascii="Arial" w:hAnsi="Arial" w:cs="Arial"/>
              <w:sz w:val="20"/>
              <w:szCs w:val="20"/>
            </w:rPr>
          </w:pPr>
          <w:r w:rsidRPr="00F23EAD">
            <w:rPr>
              <w:rFonts w:ascii="Arial" w:hAnsi="Arial" w:cs="Arial"/>
              <w:sz w:val="20"/>
              <w:szCs w:val="20"/>
            </w:rPr>
            <w:t>Professorat Lector</w:t>
          </w:r>
          <w:r w:rsidRPr="00F23EAD">
            <w:rPr>
              <w:rFonts w:ascii="Arial" w:hAnsi="Arial" w:cs="Arial"/>
              <w:sz w:val="20"/>
              <w:szCs w:val="20"/>
            </w:rPr>
            <w:br/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:rsidR="007526B9" w:rsidRPr="00F23EAD" w:rsidRDefault="00904CBD" w:rsidP="003E2C94">
          <w:pPr>
            <w:rPr>
              <w:rFonts w:ascii="Arial" w:hAnsi="Arial" w:cs="Arial"/>
              <w:sz w:val="20"/>
              <w:szCs w:val="20"/>
            </w:rPr>
          </w:pPr>
          <w:r w:rsidRPr="00904CBD">
            <w:rPr>
              <w:rFonts w:ascii="Arial" w:hAnsi="Arial" w:cs="Arial"/>
              <w:sz w:val="20"/>
              <w:szCs w:val="20"/>
            </w:rPr>
            <w:t>Teoria del Senyal i Comunicacions</w:t>
          </w:r>
        </w:p>
      </w:tc>
    </w:tr>
  </w:tbl>
  <w:p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72"/>
      <w:gridCol w:w="5853"/>
    </w:tblGrid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B6607E" w:rsidRPr="00F23EAD" w:rsidRDefault="00904CBD" w:rsidP="00C33B70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904CBD">
            <w:rPr>
              <w:rFonts w:ascii="Arial" w:hAnsi="Arial" w:cs="Arial"/>
              <w:b/>
              <w:sz w:val="20"/>
              <w:szCs w:val="20"/>
              <w:lang w:val="en-GB"/>
            </w:rPr>
            <w:t>SH-LE-221-010</w:t>
          </w:r>
        </w:p>
      </w:tc>
    </w:tr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3028"/>
    <w:rsid w:val="00064967"/>
    <w:rsid w:val="000731B4"/>
    <w:rsid w:val="0008751A"/>
    <w:rsid w:val="00090AC8"/>
    <w:rsid w:val="00091CF5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2A7A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3800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3EDD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E7E99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400A"/>
    <w:rsid w:val="008C6233"/>
    <w:rsid w:val="008D3106"/>
    <w:rsid w:val="008E1CA4"/>
    <w:rsid w:val="008F12A8"/>
    <w:rsid w:val="008F6880"/>
    <w:rsid w:val="0090043B"/>
    <w:rsid w:val="009012BA"/>
    <w:rsid w:val="00901D8C"/>
    <w:rsid w:val="00903B35"/>
    <w:rsid w:val="00904CBD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0C4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09A0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A4B39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7D163"/>
  <w15:docId w15:val="{5EE45568-2F9A-4E89-B7FC-9A31E5D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Heading1">
    <w:name w:val="heading 1"/>
    <w:basedOn w:val="Normal"/>
    <w:next w:val="Normal"/>
    <w:link w:val="Heading1Ch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DD"/>
  </w:style>
  <w:style w:type="paragraph" w:styleId="Footer">
    <w:name w:val="footer"/>
    <w:basedOn w:val="Normal"/>
    <w:link w:val="Foot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DD"/>
  </w:style>
  <w:style w:type="paragraph" w:styleId="BalloonText">
    <w:name w:val="Balloon Text"/>
    <w:basedOn w:val="Normal"/>
    <w:link w:val="BalloonTextCh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o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DefaultParagraphFont"/>
    <w:rsid w:val="007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BFE6-53F7-4053-B02F-85D80E9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Màster Oficial en Teledetecció i Sistemes d'Informació Geogràfica</cp:lastModifiedBy>
  <cp:revision>23</cp:revision>
  <cp:lastPrinted>2013-06-04T06:42:00Z</cp:lastPrinted>
  <dcterms:created xsi:type="dcterms:W3CDTF">2017-10-19T09:31:00Z</dcterms:created>
  <dcterms:modified xsi:type="dcterms:W3CDTF">2023-10-26T06:35:00Z</dcterms:modified>
</cp:coreProperties>
</file>